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98"/>
        <w:spacing w:line="360" w:lineRule="auto"/>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Fonts w:hint="eastAsia" w:ascii="宋体" w:hAnsi="宋体" w:eastAsia="宋体" w:cs="宋体"/>
          <w:color w:val="auto"/>
          <w:sz w:val="84"/>
          <w:szCs w:val="84"/>
          <w:highlight w:val="none"/>
        </w:rPr>
      </w:pPr>
      <w:r>
        <w:rPr>
          <w:rFonts w:hint="eastAsia" w:ascii="宋体" w:hAnsi="宋体" w:eastAsia="宋体" w:cs="宋体"/>
          <w:color w:val="auto"/>
          <w:sz w:val="84"/>
          <w:szCs w:val="84"/>
          <w:highlight w:val="none"/>
        </w:rPr>
        <w:t xml:space="preserve">苏州市政府采购</w:t>
      </w:r>
      <w:r/>
    </w:p>
    <w:p>
      <w:pPr>
        <w:jc w:val="center"/>
        <w:spacing w:line="360" w:lineRule="auto"/>
        <w:shd w:val="clear" w:color="auto"/>
        <w:rPr>
          <w:rFonts w:hint="eastAsia" w:ascii="宋体" w:hAnsi="宋体" w:eastAsia="宋体" w:cs="宋体"/>
          <w:color w:val="auto"/>
          <w:highlight w:val="none"/>
        </w:rPr>
      </w:pPr>
      <w:r>
        <w:rPr>
          <w:rFonts w:hint="eastAsia" w:ascii="宋体" w:hAnsi="宋体" w:eastAsia="宋体" w:cs="宋体"/>
          <w:color w:val="auto"/>
          <w:sz w:val="84"/>
          <w:szCs w:val="84"/>
          <w:highlight w:val="none"/>
        </w:rPr>
        <w:t xml:space="preserve">招  标  文  件</w:t>
      </w:r>
      <w:r/>
    </w:p>
    <w:p>
      <w:pPr>
        <w:pStyle w:val="932"/>
        <w:spacing w:line="360" w:lineRule="auto"/>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32"/>
        <w:spacing w:line="360" w:lineRule="auto"/>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shd w:val="clear" w:color="auto"/>
        <w:rPr>
          <w:rFonts w:hint="eastAsia" w:ascii="宋体" w:hAnsi="宋体" w:eastAsia="宋体" w:cs="宋体"/>
          <w:color w:val="auto"/>
          <w:highlight w:val="none"/>
        </w:rPr>
      </w:pP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1438275" cy="1438275"/>
                <wp:effectExtent l="0" t="0" r="9525" b="9525"/>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pic:cNvPicPr>
                          <a:picLocks noChangeAspect="1"/>
                        </pic:cNvPicPr>
                        <pic:nvPr/>
                      </pic:nvPicPr>
                      <pic:blipFill>
                        <a:blip r:embed="rId17"/>
                        <a:stretch/>
                      </pic:blipFill>
                      <pic:spPr bwMode="auto">
                        <a:xfrm>
                          <a:off x="0" y="0"/>
                          <a:ext cx="1438275" cy="14382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13.2pt;height:113.2pt;mso-wrap-distance-left:0.0pt;mso-wrap-distance-top:0.0pt;mso-wrap-distance-right:0.0pt;mso-wrap-distance-bottom:0.0pt;" stroked="f">
                <v:path textboxrect="0,0,0,0"/>
                <v:imagedata r:id="rId17" o:title=""/>
              </v:shape>
            </w:pict>
          </mc:Fallback>
        </mc:AlternateContent>
      </w:r>
      <w:r/>
    </w:p>
    <w:p>
      <w:pPr>
        <w:spacing w:line="360" w:lineRule="auto"/>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1600"/>
        <w:jc w:val="both"/>
        <w:spacing w:line="360" w:lineRule="auto"/>
        <w:shd w:val="clear" w:color="auto"/>
        <w:rPr>
          <w:rFonts w:hint="eastAsia" w:ascii="宋体" w:hAnsi="宋体" w:eastAsia="宋体" w:cs="宋体"/>
          <w:bCs/>
          <w:color w:val="auto"/>
          <w:sz w:val="32"/>
          <w:highlight w:val="none"/>
          <w:lang w:eastAsia="zh-CN"/>
        </w:rPr>
      </w:pPr>
      <w:r>
        <w:rPr>
          <w:rFonts w:hint="eastAsia" w:ascii="宋体" w:hAnsi="宋体" w:eastAsia="宋体" w:cs="宋体"/>
          <w:bCs/>
          <w:color w:val="auto"/>
          <w:sz w:val="32"/>
          <w:highlight w:val="none"/>
        </w:rPr>
        <w:t xml:space="preserve">项目编号：</w:t>
      </w:r>
      <w:r>
        <w:rPr>
          <w:rFonts w:hint="eastAsia" w:ascii="宋体" w:hAnsi="宋体" w:eastAsia="宋体" w:cs="宋体"/>
          <w:color w:val="auto"/>
          <w:sz w:val="32"/>
          <w:szCs w:val="32"/>
          <w:highlight w:val="none"/>
          <w:lang w:eastAsia="zh-CN"/>
        </w:rPr>
        <w:t xml:space="preserve">JSZC-320500-SZZJ-G2026-0018</w:t>
      </w:r>
      <w:r/>
    </w:p>
    <w:p>
      <w:pPr>
        <w:ind w:firstLine="1600"/>
        <w:jc w:val="both"/>
        <w:spacing w:line="360" w:lineRule="auto"/>
        <w:shd w:val="clear" w:color="auto"/>
        <w:tabs>
          <w:tab w:val="left" w:pos="1744" w:leader="none"/>
        </w:tabs>
        <w:rPr>
          <w:rFonts w:hint="eastAsia" w:ascii="宋体" w:hAnsi="宋体" w:eastAsia="宋体" w:cs="宋体"/>
          <w:bCs/>
          <w:color w:val="auto"/>
          <w:sz w:val="32"/>
          <w:highlight w:val="none"/>
          <w:lang w:eastAsia="zh-CN"/>
        </w:rPr>
      </w:pPr>
      <w:r>
        <w:rPr>
          <w:rFonts w:hint="eastAsia" w:ascii="宋体" w:hAnsi="宋体" w:eastAsia="宋体" w:cs="宋体"/>
          <w:bCs/>
          <w:color w:val="auto"/>
          <w:sz w:val="32"/>
          <w:highlight w:val="none"/>
        </w:rPr>
        <w:t xml:space="preserve">采 购 人：</w:t>
      </w:r>
      <w:r>
        <w:rPr>
          <w:rFonts w:hint="eastAsia" w:ascii="宋体" w:hAnsi="宋体" w:eastAsia="宋体" w:cs="宋体"/>
          <w:bCs/>
          <w:color w:val="auto"/>
          <w:sz w:val="32"/>
          <w:highlight w:val="none"/>
          <w:lang w:eastAsia="zh-CN"/>
        </w:rPr>
        <w:t xml:space="preserve">苏州市文物保护管理所</w:t>
      </w:r>
      <w:r/>
    </w:p>
    <w:p>
      <w:pPr>
        <w:ind w:firstLine="1600"/>
        <w:jc w:val="both"/>
        <w:spacing w:line="360" w:lineRule="auto"/>
        <w:shd w:val="clear" w:color="auto"/>
        <w:rPr>
          <w:rFonts w:hint="eastAsia" w:ascii="宋体" w:hAnsi="宋体" w:eastAsia="宋体" w:cs="宋体"/>
          <w:bCs/>
          <w:color w:val="auto"/>
          <w:sz w:val="32"/>
          <w:highlight w:val="none"/>
          <w:lang w:eastAsia="zh-CN"/>
        </w:rPr>
      </w:pPr>
      <w:r>
        <w:rPr>
          <w:rFonts w:hint="eastAsia" w:ascii="宋体" w:hAnsi="宋体" w:eastAsia="宋体" w:cs="宋体"/>
          <w:bCs/>
          <w:color w:val="auto"/>
          <w:sz w:val="32"/>
          <w:highlight w:val="none"/>
        </w:rPr>
        <w:t xml:space="preserve">项目名称：</w:t>
      </w:r>
      <w:r>
        <w:rPr>
          <w:rFonts w:hint="eastAsia" w:ascii="宋体" w:hAnsi="宋体" w:eastAsia="宋体" w:cs="宋体"/>
          <w:bCs/>
          <w:color w:val="auto"/>
          <w:sz w:val="32"/>
          <w:highlight w:val="none"/>
          <w:lang w:eastAsia="zh-CN"/>
        </w:rPr>
        <w:t xml:space="preserve">苏州市轨道交通沿线文物安全监测</w:t>
      </w:r>
      <w:r/>
    </w:p>
    <w:p>
      <w:pPr>
        <w:ind w:firstLine="1600"/>
        <w:jc w:val="left"/>
        <w:spacing w:line="360" w:lineRule="auto"/>
        <w:shd w:val="clear" w:color="auto"/>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t xml:space="preserve">项目类别：</w:t>
      </w:r>
      <w:r>
        <w:rPr>
          <w:rFonts w:hint="eastAsia" w:ascii="宋体" w:hAnsi="宋体" w:eastAsia="宋体" w:cs="宋体"/>
          <w:bCs/>
          <w:color w:val="auto"/>
          <w:sz w:val="32"/>
          <w:highlight w:val="none"/>
          <w:lang w:val="en-US" w:eastAsia="zh-CN"/>
        </w:rPr>
        <w:t xml:space="preserve">服务</w:t>
      </w:r>
      <w:r>
        <w:rPr>
          <w:rFonts w:hint="eastAsia" w:ascii="宋体" w:hAnsi="宋体" w:eastAsia="宋体" w:cs="宋体"/>
          <w:bCs/>
          <w:color w:val="auto"/>
          <w:sz w:val="32"/>
          <w:highlight w:val="none"/>
        </w:rPr>
        <w:t xml:space="preserve">类</w:t>
      </w:r>
      <w:r/>
    </w:p>
    <w:p>
      <w:pPr>
        <w:spacing w:line="360" w:lineRule="auto"/>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32"/>
        <w:spacing w:line="360" w:lineRule="auto"/>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shd w:val="clear" w:color="auto"/>
        <w:rPr>
          <w:rFonts w:hint="eastAsia" w:ascii="宋体" w:hAnsi="宋体" w:eastAsia="宋体" w:cs="宋体"/>
          <w:color w:val="auto"/>
          <w:sz w:val="32"/>
          <w:highlight w:val="none"/>
        </w:rPr>
      </w:pPr>
      <w:r>
        <w:rPr>
          <w:rFonts w:hint="eastAsia" w:ascii="宋体" w:hAnsi="宋体" w:eastAsia="宋体" w:cs="宋体"/>
          <w:color w:val="auto"/>
          <w:sz w:val="32"/>
          <w:highlight w:val="none"/>
        </w:rPr>
        <w:t xml:space="preserve">苏州正杰招投标咨询服务有限公司</w:t>
      </w:r>
      <w:r/>
    </w:p>
    <w:p>
      <w:pPr>
        <w:jc w:val="center"/>
        <w:spacing w:line="360" w:lineRule="auto"/>
        <w:shd w:val="clear" w:color="auto"/>
        <w:rPr>
          <w:rFonts w:hint="eastAsia" w:ascii="宋体" w:hAnsi="宋体" w:eastAsia="宋体" w:cs="宋体"/>
          <w:color w:val="auto"/>
          <w:sz w:val="52"/>
          <w:highlight w:val="none"/>
        </w:rPr>
        <w:sectPr>
          <w:headerReference w:type="default" r:id="rId9"/>
          <w:footerReference w:type="default" r:id="rId10"/>
          <w:footerReference w:type="even" r:id="rId11"/>
          <w:footnotePr/>
          <w:endnotePr/>
          <w:type w:val="nextPage"/>
          <w:pgSz w:w="11906" w:h="16838" w:orient="portrait"/>
          <w:pgMar w:top="1134" w:right="1134" w:bottom="1134" w:left="1134" w:header="851" w:footer="992" w:gutter="0"/>
          <w:pgNumType w:start="0"/>
          <w:cols w:num="1" w:sep="0" w:space="720" w:equalWidth="1"/>
          <w:docGrid w:linePitch="360"/>
          <w:titlePg/>
        </w:sectPr>
      </w:pPr>
      <w:r>
        <w:rPr>
          <w:rFonts w:hint="eastAsia" w:ascii="宋体" w:hAnsi="宋体" w:eastAsia="宋体" w:cs="宋体"/>
          <w:color w:val="auto"/>
          <w:sz w:val="32"/>
          <w:highlight w:val="none"/>
        </w:rPr>
        <w:t xml:space="preserve">二○二</w:t>
      </w:r>
      <w:r>
        <w:rPr>
          <w:rFonts w:hint="eastAsia" w:ascii="宋体" w:hAnsi="宋体" w:eastAsia="宋体" w:cs="宋体"/>
          <w:color w:val="auto"/>
          <w:sz w:val="32"/>
          <w:highlight w:val="none"/>
          <w:lang w:val="en-US" w:eastAsia="zh-CN"/>
        </w:rPr>
        <w:t xml:space="preserve">六</w:t>
      </w:r>
      <w:r>
        <w:rPr>
          <w:rFonts w:hint="eastAsia" w:ascii="宋体" w:hAnsi="宋体" w:eastAsia="宋体" w:cs="宋体"/>
          <w:color w:val="auto"/>
          <w:sz w:val="32"/>
          <w:highlight w:val="none"/>
        </w:rPr>
        <w:t xml:space="preserve">年</w:t>
      </w:r>
      <w:r>
        <w:rPr>
          <w:rFonts w:hint="eastAsia" w:ascii="宋体" w:hAnsi="宋体" w:eastAsia="宋体" w:cs="宋体"/>
          <w:color w:val="auto"/>
          <w:sz w:val="32"/>
          <w:highlight w:val="none"/>
          <w:lang w:val="en-US" w:eastAsia="zh-CN"/>
        </w:rPr>
        <w:t xml:space="preserve">五</w:t>
      </w:r>
      <w:r>
        <w:rPr>
          <w:rFonts w:hint="eastAsia" w:ascii="宋体" w:hAnsi="宋体" w:eastAsia="宋体" w:cs="宋体"/>
          <w:color w:val="auto"/>
          <w:sz w:val="32"/>
          <w:highlight w:val="none"/>
        </w:rPr>
        <w:t xml:space="preserve">月</w:t>
      </w:r>
      <w:r/>
    </w:p>
    <w:p>
      <w:pPr>
        <w:pStyle w:val="924"/>
        <w:ind w:firstLine="0"/>
        <w:jc w:val="center"/>
        <w:spacing w:line="360" w:lineRule="auto"/>
        <w:shd w:val="clear" w:color="auto"/>
        <w:rPr>
          <w:rFonts w:hint="eastAsia" w:ascii="宋体" w:hAnsi="宋体" w:eastAsia="宋体" w:cs="宋体"/>
          <w:color w:val="auto"/>
          <w:sz w:val="52"/>
          <w:highlight w:val="none"/>
        </w:rPr>
      </w:pPr>
      <w:r>
        <w:rPr>
          <w:rFonts w:hint="eastAsia" w:ascii="宋体" w:hAnsi="宋体" w:eastAsia="宋体" w:cs="宋体"/>
          <w:color w:val="auto"/>
          <w:sz w:val="52"/>
          <w:highlight w:val="none"/>
        </w:rPr>
      </w:r>
      <w:r/>
    </w:p>
    <w:p>
      <w:pPr>
        <w:pStyle w:val="924"/>
        <w:ind w:firstLine="0"/>
        <w:jc w:val="center"/>
        <w:spacing w:line="360" w:lineRule="auto"/>
        <w:shd w:val="clear" w:color="auto"/>
        <w:rPr>
          <w:rFonts w:hint="eastAsia" w:ascii="宋体" w:hAnsi="宋体" w:eastAsia="宋体" w:cs="宋体"/>
          <w:color w:val="auto"/>
          <w:sz w:val="52"/>
          <w:highlight w:val="none"/>
        </w:rPr>
      </w:pPr>
      <w:r>
        <w:rPr>
          <w:rFonts w:hint="eastAsia" w:ascii="宋体" w:hAnsi="宋体" w:eastAsia="宋体" w:cs="宋体"/>
          <w:color w:val="auto"/>
          <w:sz w:val="52"/>
          <w:highlight w:val="none"/>
        </w:rPr>
        <w:t xml:space="preserve">目录</w:t>
      </w:r>
      <w:r/>
    </w:p>
    <w:p>
      <w:pPr>
        <w:pStyle w:val="924"/>
        <w:ind w:firstLine="0"/>
        <w:jc w:val="center"/>
        <w:spacing w:line="360" w:lineRule="auto"/>
        <w:shd w:val="clear" w:color="auto"/>
        <w:rPr>
          <w:rFonts w:hint="eastAsia" w:ascii="宋体" w:hAnsi="宋体" w:eastAsia="宋体" w:cs="宋体"/>
          <w:color w:val="auto"/>
          <w:sz w:val="30"/>
          <w:highlight w:val="none"/>
        </w:rPr>
      </w:pPr>
      <w:r>
        <w:rPr>
          <w:rFonts w:hint="eastAsia" w:ascii="宋体" w:hAnsi="宋体" w:eastAsia="宋体" w:cs="宋体"/>
          <w:color w:val="auto"/>
          <w:sz w:val="30"/>
          <w:highlight w:val="none"/>
        </w:rPr>
      </w:r>
      <w:r/>
    </w:p>
    <w:p>
      <w:pPr>
        <w:pStyle w:val="924"/>
        <w:ind w:firstLine="0"/>
        <w:jc w:val="center"/>
        <w:spacing w:line="360" w:lineRule="auto"/>
        <w:shd w:val="clear" w:color="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jc w:val="both"/>
        <w:spacing w:line="360" w:lineRule="auto"/>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第一章</w:t>
      </w:r>
      <w:r>
        <w:rPr>
          <w:rFonts w:hint="eastAsia" w:ascii="宋体" w:hAnsi="宋体" w:eastAsia="宋体" w:cs="宋体"/>
          <w:color w:val="auto"/>
          <w:sz w:val="30"/>
          <w:szCs w:val="30"/>
          <w:highlight w:val="none"/>
          <w:lang w:val="en-US" w:eastAsia="zh-CN"/>
        </w:rPr>
        <w:t xml:space="preserve"> 投标邀请函</w:t>
      </w:r>
      <w:r>
        <w:rPr>
          <w:rFonts w:hint="eastAsia" w:ascii="宋体" w:hAnsi="宋体" w:eastAsia="宋体" w:cs="宋体"/>
          <w:color w:val="auto"/>
          <w:sz w:val="30"/>
          <w:szCs w:val="30"/>
          <w:highlight w:val="none"/>
        </w:rPr>
        <w:t xml:space="preserve">........................................</w:t>
      </w:r>
      <w:r/>
    </w:p>
    <w:p>
      <w:pPr>
        <w:jc w:val="both"/>
        <w:spacing w:line="360" w:lineRule="auto"/>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第二章 投标人须知........................................</w:t>
      </w:r>
      <w:r/>
    </w:p>
    <w:p>
      <w:pPr>
        <w:jc w:val="both"/>
        <w:spacing w:line="360" w:lineRule="auto"/>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第三章 投标文件格式......................................</w:t>
      </w:r>
      <w:r/>
    </w:p>
    <w:p>
      <w:pPr>
        <w:jc w:val="both"/>
        <w:spacing w:line="360" w:lineRule="auto"/>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第四章 </w:t>
      </w:r>
      <w:r>
        <w:rPr>
          <w:rFonts w:hint="eastAsia" w:ascii="宋体" w:hAnsi="宋体" w:eastAsia="宋体" w:cs="宋体"/>
          <w:color w:val="auto"/>
          <w:sz w:val="30"/>
          <w:szCs w:val="30"/>
          <w:highlight w:val="none"/>
          <w:lang w:val="en-US" w:eastAsia="zh-CN"/>
        </w:rPr>
        <w:t xml:space="preserve">采购需求</w:t>
      </w:r>
      <w:r>
        <w:rPr>
          <w:rFonts w:hint="eastAsia" w:ascii="宋体" w:hAnsi="宋体" w:eastAsia="宋体" w:cs="宋体"/>
          <w:color w:val="auto"/>
          <w:sz w:val="30"/>
          <w:szCs w:val="30"/>
          <w:highlight w:val="none"/>
        </w:rPr>
        <w:t xml:space="preserve">..........................................</w:t>
      </w:r>
      <w:r/>
    </w:p>
    <w:p>
      <w:pPr>
        <w:jc w:val="both"/>
        <w:spacing w:line="360" w:lineRule="auto"/>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第五章 合同</w:t>
      </w:r>
      <w:r>
        <w:rPr>
          <w:rFonts w:hint="eastAsia" w:ascii="宋体" w:hAnsi="宋体" w:eastAsia="宋体" w:cs="宋体"/>
          <w:color w:val="auto"/>
          <w:sz w:val="30"/>
          <w:szCs w:val="30"/>
          <w:highlight w:val="none"/>
          <w:lang w:val="en-US" w:eastAsia="zh-CN"/>
        </w:rPr>
        <w:t xml:space="preserve">主要</w:t>
      </w:r>
      <w:r>
        <w:rPr>
          <w:rFonts w:hint="eastAsia" w:ascii="宋体" w:hAnsi="宋体" w:eastAsia="宋体" w:cs="宋体"/>
          <w:color w:val="auto"/>
          <w:sz w:val="30"/>
          <w:szCs w:val="30"/>
          <w:highlight w:val="none"/>
        </w:rPr>
        <w:t xml:space="preserve">条款......................................</w:t>
      </w:r>
      <w:r/>
    </w:p>
    <w:p>
      <w:pPr>
        <w:jc w:val="both"/>
        <w:spacing w:line="360" w:lineRule="auto"/>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第六章 </w:t>
      </w:r>
      <w:r>
        <w:rPr>
          <w:rFonts w:hint="eastAsia" w:ascii="宋体" w:hAnsi="宋体" w:eastAsia="宋体" w:cs="宋体"/>
          <w:color w:val="auto"/>
          <w:sz w:val="30"/>
          <w:szCs w:val="30"/>
          <w:highlight w:val="none"/>
          <w:lang w:val="en-US" w:eastAsia="zh-CN"/>
        </w:rPr>
        <w:t xml:space="preserve">评分方法和</w:t>
      </w:r>
      <w:r>
        <w:rPr>
          <w:rFonts w:hint="eastAsia" w:ascii="宋体" w:hAnsi="宋体" w:eastAsia="宋体" w:cs="宋体"/>
          <w:color w:val="auto"/>
          <w:sz w:val="30"/>
          <w:szCs w:val="30"/>
          <w:highlight w:val="none"/>
        </w:rPr>
        <w:t xml:space="preserve">评分标准................................</w:t>
      </w:r>
      <w:r/>
    </w:p>
    <w:p>
      <w:pPr>
        <w:pStyle w:val="924"/>
        <w:ind w:firstLine="0"/>
        <w:jc w:val="center"/>
        <w:spacing w:line="360" w:lineRule="auto"/>
        <w:shd w:val="clear" w:color="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jc w:val="center"/>
        <w:spacing w:line="360" w:lineRule="auto"/>
        <w:shd w:val="clear" w:color="auto"/>
        <w:widowControl/>
        <w:rPr>
          <w:rFonts w:hint="eastAsia" w:ascii="宋体" w:hAnsi="宋体" w:eastAsia="宋体" w:cs="宋体"/>
          <w:color w:val="auto"/>
          <w:sz w:val="30"/>
          <w:szCs w:val="30"/>
          <w:highlight w:val="none"/>
        </w:rPr>
        <w:sectPr>
          <w:footerReference w:type="default" r:id="rId12"/>
          <w:footerReference w:type="first" r:id="rId13"/>
          <w:footnotePr/>
          <w:endnotePr/>
          <w:type w:val="nextPage"/>
          <w:pgSz w:w="11906" w:h="16838" w:orient="portrait"/>
          <w:pgMar w:top="1134" w:right="1134" w:bottom="1134" w:left="1134" w:header="851" w:footer="992" w:gutter="0"/>
          <w:pgNumType w:start="1"/>
          <w:cols w:num="1" w:sep="0" w:space="720" w:equalWidth="1"/>
          <w:docGrid w:linePitch="360"/>
        </w:sectPr>
      </w:pPr>
      <w:r>
        <w:rPr>
          <w:rFonts w:hint="eastAsia" w:ascii="宋体" w:hAnsi="宋体" w:eastAsia="宋体" w:cs="宋体"/>
          <w:color w:val="auto"/>
          <w:sz w:val="30"/>
          <w:szCs w:val="30"/>
          <w:highlight w:val="none"/>
        </w:rPr>
      </w:r>
      <w:r/>
    </w:p>
    <w:p>
      <w:pPr>
        <w:jc w:val="center"/>
        <w:spacing w:line="360" w:lineRule="auto"/>
        <w:shd w:val="clear" w:color="auto"/>
        <w:widowControl/>
        <w:rPr>
          <w:rFonts w:hint="eastAsia" w:ascii="宋体" w:hAnsi="宋体" w:eastAsia="宋体" w:cs="宋体"/>
          <w:color w:val="auto"/>
          <w:sz w:val="32"/>
          <w:highlight w:val="none"/>
        </w:rPr>
      </w:pPr>
      <w:r>
        <w:rPr>
          <w:rFonts w:hint="eastAsia" w:ascii="宋体" w:hAnsi="宋体" w:eastAsia="宋体" w:cs="宋体"/>
          <w:color w:val="auto"/>
          <w:sz w:val="24"/>
          <w:szCs w:val="24"/>
          <w:highlight w:val="none"/>
        </w:rPr>
        <w:t xml:space="preserve">第一章 </w:t>
      </w:r>
      <w:r>
        <w:rPr>
          <w:rFonts w:hint="eastAsia" w:ascii="宋体" w:hAnsi="宋体" w:eastAsia="宋体" w:cs="宋体"/>
          <w:color w:val="auto"/>
          <w:sz w:val="24"/>
          <w:szCs w:val="24"/>
          <w:highlight w:val="none"/>
          <w:lang w:val="en-US" w:eastAsia="zh-CN"/>
        </w:rPr>
        <w:t xml:space="preserve">投标邀请函</w:t>
      </w:r>
      <w:r/>
    </w:p>
    <w:p>
      <w:pPr>
        <w:ind w:firstLine="48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苏州正杰招投标咨询服务有限公司受</w:t>
      </w:r>
      <w:r>
        <w:rPr>
          <w:rFonts w:hint="eastAsia" w:ascii="宋体" w:hAnsi="宋体" w:eastAsia="宋体" w:cs="宋体"/>
          <w:color w:val="auto"/>
          <w:sz w:val="24"/>
          <w:szCs w:val="24"/>
          <w:highlight w:val="none"/>
          <w:lang w:eastAsia="zh-CN"/>
        </w:rPr>
        <w:t xml:space="preserve">苏州市文物保护管理所</w:t>
      </w:r>
      <w:r>
        <w:rPr>
          <w:rFonts w:hint="eastAsia" w:ascii="宋体" w:hAnsi="宋体" w:eastAsia="宋体" w:cs="宋体"/>
          <w:color w:val="auto"/>
          <w:sz w:val="24"/>
          <w:szCs w:val="24"/>
          <w:highlight w:val="none"/>
        </w:rPr>
        <w:t xml:space="preserve">的委托</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就其所需的</w:t>
      </w:r>
      <w:r>
        <w:rPr>
          <w:rFonts w:hint="eastAsia" w:ascii="宋体" w:hAnsi="宋体" w:eastAsia="宋体" w:cs="宋体"/>
          <w:color w:val="auto"/>
          <w:sz w:val="24"/>
          <w:szCs w:val="24"/>
          <w:highlight w:val="none"/>
          <w:lang w:eastAsia="zh-CN"/>
        </w:rPr>
        <w:t xml:space="preserve">苏州市轨道交通沿线文物安全监测</w:t>
      </w:r>
      <w:r>
        <w:rPr>
          <w:rFonts w:hint="eastAsia" w:ascii="宋体" w:hAnsi="宋体" w:eastAsia="宋体" w:cs="宋体"/>
          <w:color w:val="auto"/>
          <w:sz w:val="24"/>
          <w:szCs w:val="24"/>
          <w:highlight w:val="none"/>
          <w:lang w:val="en-US" w:eastAsia="zh-CN"/>
        </w:rPr>
        <w:t xml:space="preserve">项目</w:t>
      </w:r>
      <w:r>
        <w:rPr>
          <w:rFonts w:hint="eastAsia" w:ascii="宋体" w:hAnsi="宋体" w:eastAsia="宋体" w:cs="宋体"/>
          <w:color w:val="auto"/>
          <w:sz w:val="24"/>
          <w:szCs w:val="24"/>
          <w:highlight w:val="none"/>
        </w:rPr>
        <w:t xml:space="preserve">进行公开招标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欢迎符合资格条件和具备履约能力的供应商单位前来参与。</w:t>
      </w:r>
      <w:r/>
    </w:p>
    <w:p>
      <w:pPr>
        <w:ind w:firstLine="482"/>
        <w:spacing w:line="360" w:lineRule="auto"/>
        <w:shd w:val="clear" w:color="auto"/>
        <w:rPr>
          <w:rFonts w:hint="eastAsia" w:ascii="宋体" w:hAnsi="宋体" w:eastAsia="宋体" w:cs="宋体"/>
          <w:b/>
          <w:bCs/>
          <w:color w:val="auto"/>
          <w:sz w:val="24"/>
          <w:szCs w:val="24"/>
          <w:highlight w:val="none"/>
          <w:lang w:eastAsia="zh-CN"/>
        </w:rPr>
        <w:outlineLvl w:val="1"/>
      </w:pPr>
      <w:r>
        <w:rPr>
          <w:rFonts w:hint="eastAsia" w:ascii="宋体" w:hAnsi="宋体" w:eastAsia="宋体" w:cs="宋体"/>
          <w:b/>
          <w:bCs/>
          <w:color w:val="auto"/>
          <w:sz w:val="24"/>
          <w:szCs w:val="24"/>
          <w:highlight w:val="none"/>
        </w:rPr>
        <w:t xml:space="preserve">一、项目基本情况</w:t>
      </w:r>
      <w:r>
        <w:rPr>
          <w:rFonts w:hint="eastAsia" w:ascii="宋体" w:hAnsi="宋体" w:eastAsia="宋体" w:cs="宋体"/>
          <w:b/>
          <w:bCs/>
          <w:color w:val="auto"/>
          <w:sz w:val="24"/>
          <w:szCs w:val="24"/>
          <w:highlight w:val="none"/>
          <w:lang w:eastAsia="zh-CN"/>
        </w:rPr>
        <w:t xml:space="preserve">：</w:t>
      </w:r>
      <w:r/>
    </w:p>
    <w:p>
      <w:pPr>
        <w:ind w:firstLine="48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lang w:eastAsia="zh-CN"/>
        </w:rPr>
        <w:t xml:space="preserve">JSZC-320500-SZZJ-G2026-0018</w:t>
      </w:r>
      <w:r>
        <w:rPr>
          <w:rFonts w:hint="eastAsia" w:ascii="宋体" w:hAnsi="宋体" w:eastAsia="宋体" w:cs="宋体"/>
          <w:color w:val="auto"/>
          <w:sz w:val="24"/>
          <w:szCs w:val="24"/>
          <w:highlight w:val="none"/>
        </w:rPr>
        <w:t xml:space="preserve">。</w:t>
      </w:r>
      <w:bookmarkStart w:id="20" w:name="_GoBack"/>
      <w:r/>
      <w:bookmarkEnd w:id="20"/>
      <w:r/>
      <w:r/>
    </w:p>
    <w:p>
      <w:pPr>
        <w:ind w:firstLine="480"/>
        <w:spacing w:line="360" w:lineRule="auto"/>
        <w:shd w:val="clear" w:color="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4"/>
          <w:szCs w:val="24"/>
          <w:highlight w:val="none"/>
        </w:rPr>
        <w:t xml:space="preserve">项目名称：</w:t>
      </w:r>
      <w:r>
        <w:rPr>
          <w:rFonts w:hint="eastAsia" w:ascii="宋体" w:hAnsi="宋体" w:eastAsia="宋体" w:cs="宋体"/>
          <w:color w:val="auto"/>
          <w:sz w:val="24"/>
          <w:szCs w:val="24"/>
          <w:highlight w:val="none"/>
          <w:lang w:eastAsia="zh-CN"/>
        </w:rPr>
        <w:t xml:space="preserve">苏州市轨道交通沿线文物安全监测。</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预算金额：人民币</w:t>
      </w:r>
      <w:r>
        <w:rPr>
          <w:rFonts w:hint="eastAsia" w:ascii="宋体" w:hAnsi="宋体" w:eastAsia="宋体" w:cs="宋体"/>
          <w:color w:val="auto"/>
          <w:sz w:val="24"/>
          <w:szCs w:val="24"/>
          <w:highlight w:val="none"/>
          <w:lang w:val="en-US" w:eastAsia="zh-CN"/>
        </w:rPr>
        <w:t xml:space="preserve">6496084.00</w:t>
      </w:r>
      <w:r>
        <w:rPr>
          <w:rFonts w:hint="eastAsia" w:ascii="宋体" w:hAnsi="宋体" w:eastAsia="宋体" w:cs="宋体"/>
          <w:color w:val="auto"/>
          <w:sz w:val="24"/>
          <w:szCs w:val="24"/>
          <w:highlight w:val="none"/>
        </w:rPr>
        <w:t xml:space="preserve">元</w:t>
      </w:r>
      <w:r>
        <w:rPr>
          <w:rFonts w:hint="eastAsia" w:ascii="宋体" w:hAnsi="宋体" w:eastAsia="宋体" w:cs="宋体"/>
          <w:color w:val="auto"/>
          <w:sz w:val="24"/>
          <w:szCs w:val="24"/>
          <w:highlight w:val="none"/>
          <w:lang w:eastAsia="zh-CN"/>
        </w:rPr>
        <w:t xml:space="preserve">。</w:t>
      </w:r>
      <w:r/>
    </w:p>
    <w:p>
      <w:pPr>
        <w:ind w:firstLine="48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最高限价：人民币</w:t>
      </w:r>
      <w:r>
        <w:rPr>
          <w:rFonts w:hint="eastAsia" w:ascii="宋体" w:hAnsi="宋体" w:eastAsia="宋体" w:cs="宋体"/>
          <w:color w:val="auto"/>
          <w:sz w:val="24"/>
          <w:szCs w:val="24"/>
          <w:highlight w:val="none"/>
          <w:lang w:val="en-US" w:eastAsia="zh-CN"/>
        </w:rPr>
        <w:t xml:space="preserve">6496084.00</w:t>
      </w:r>
      <w:r>
        <w:rPr>
          <w:rFonts w:hint="eastAsia" w:ascii="宋体" w:hAnsi="宋体" w:eastAsia="宋体" w:cs="宋体"/>
          <w:color w:val="auto"/>
          <w:sz w:val="24"/>
          <w:szCs w:val="24"/>
          <w:highlight w:val="none"/>
        </w:rPr>
        <w:t xml:space="preserve">元</w:t>
      </w:r>
      <w:r>
        <w:rPr>
          <w:rFonts w:hint="eastAsia" w:ascii="宋体" w:hAnsi="宋体" w:eastAsia="宋体" w:cs="宋体"/>
          <w:color w:val="auto"/>
          <w:sz w:val="24"/>
          <w:szCs w:val="24"/>
          <w:highlight w:val="none"/>
          <w:lang w:eastAsia="zh-CN"/>
        </w:rPr>
        <w:t xml:space="preserve">。</w:t>
      </w:r>
      <w:r/>
    </w:p>
    <w:p>
      <w:pPr>
        <w:ind w:firstLine="48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采购需求：</w:t>
      </w:r>
      <w:r/>
    </w:p>
    <w:p>
      <w:pPr>
        <w:ind w:firstLine="480"/>
        <w:spacing w:line="360" w:lineRule="auto"/>
        <w:shd w:val="clear" w:color="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1、标的的名称：</w:t>
      </w:r>
      <w:r>
        <w:rPr>
          <w:rFonts w:hint="eastAsia" w:ascii="宋体" w:hAnsi="宋体" w:eastAsia="宋体" w:cs="宋体"/>
          <w:color w:val="auto"/>
          <w:sz w:val="24"/>
          <w:szCs w:val="24"/>
          <w:highlight w:val="none"/>
          <w:lang w:eastAsia="zh-CN"/>
        </w:rPr>
        <w:t xml:space="preserve">苏州市轨道交通沿线文物安全监测。</w:t>
      </w:r>
      <w:r/>
    </w:p>
    <w:p>
      <w:pPr>
        <w:ind w:firstLine="480"/>
        <w:spacing w:line="360" w:lineRule="auto"/>
        <w:shd w:val="clear" w:color="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2、数量：1项</w:t>
      </w:r>
      <w:r>
        <w:rPr>
          <w:rFonts w:hint="eastAsia" w:ascii="宋体" w:hAnsi="宋体" w:eastAsia="宋体" w:cs="宋体"/>
          <w:color w:val="auto"/>
          <w:sz w:val="24"/>
          <w:szCs w:val="24"/>
          <w:highlight w:val="none"/>
          <w:lang w:eastAsia="zh-CN"/>
        </w:rPr>
        <w:t xml:space="preserve">。</w:t>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3、简要技术需求或服务要求等：2026年度苏州市轨道交通4号线沿线文物安全监测、2026年度苏州市轨道交通5号线沿线文物安全监测、2026年度苏州市轨道交通6号线沿线文物安全监测</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具体详见招标文件采购需求。</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合同履行期限：</w:t>
      </w:r>
      <w:r>
        <w:rPr>
          <w:rFonts w:hint="eastAsia" w:ascii="宋体" w:hAnsi="宋体" w:eastAsia="宋体" w:cs="宋体"/>
          <w:color w:val="auto"/>
          <w:sz w:val="24"/>
          <w:szCs w:val="24"/>
          <w:highlight w:val="none"/>
          <w:lang w:eastAsia="zh-CN"/>
        </w:rPr>
        <w:t xml:space="preserve">自合同生效之日起至2026年12月31日止。</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本项不接受联合体投标、不接受进口产品、不允许转包。</w:t>
      </w:r>
      <w:r/>
    </w:p>
    <w:p>
      <w:pPr>
        <w:ind w:firstLine="482"/>
        <w:spacing w:line="360" w:lineRule="auto"/>
        <w:shd w:val="clear" w:color="auto"/>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t xml:space="preserve">二、申请人的资格要求：</w:t>
      </w:r>
      <w:r/>
    </w:p>
    <w:p>
      <w:pPr>
        <w:ind w:firstLine="480"/>
        <w:spacing w:line="360" w:lineRule="auto"/>
        <w:shd w:val="clear" w:color="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1、合格供应商的一般条件</w:t>
      </w:r>
      <w:r>
        <w:rPr>
          <w:rFonts w:hint="eastAsia" w:ascii="宋体" w:hAnsi="宋体" w:eastAsia="宋体" w:cs="宋体"/>
          <w:color w:val="auto"/>
          <w:sz w:val="24"/>
          <w:szCs w:val="24"/>
          <w:highlight w:val="none"/>
          <w:lang w:eastAsia="zh-CN"/>
        </w:rPr>
        <w:t xml:space="preserve">：</w:t>
      </w:r>
      <w:r/>
    </w:p>
    <w:p>
      <w:pPr>
        <w:ind w:firstLine="48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1.1具有独立承担民事责任的能力。</w:t>
      </w:r>
      <w:r/>
    </w:p>
    <w:p>
      <w:pPr>
        <w:ind w:firstLine="48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1.2具有良好的商业信誉和健全的财务会计制度。</w:t>
      </w:r>
      <w:r/>
    </w:p>
    <w:p>
      <w:pPr>
        <w:ind w:firstLine="48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1.3具有履行合同所必需的设备和专业技术能力。</w:t>
      </w:r>
      <w:r/>
    </w:p>
    <w:p>
      <w:pPr>
        <w:ind w:firstLine="48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1.4有依法缴纳税收和社会保障资金的良好记录。</w:t>
      </w:r>
      <w:r/>
    </w:p>
    <w:p>
      <w:pPr>
        <w:ind w:firstLine="48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1.5参加政府采购活动前三年内</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在经营活动中没有重大违法记录。</w:t>
      </w:r>
      <w:r/>
    </w:p>
    <w:p>
      <w:pPr>
        <w:ind w:firstLine="48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1.6法律、行政法规规定的其他条件。</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2、落实政府采购政策需满足的资格要求</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bCs/>
          <w:color w:val="auto"/>
          <w:sz w:val="24"/>
          <w:szCs w:val="24"/>
          <w:highlight w:val="none"/>
        </w:rPr>
        <w:t xml:space="preserve">根据《政府采购促进中小企业发展管理办法》的相关规定</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本项目专门面向中小企业</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所属行业为其他未列明行业</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投标人</w:t>
      </w:r>
      <w:r>
        <w:rPr>
          <w:rFonts w:hint="eastAsia" w:ascii="宋体" w:hAnsi="宋体" w:eastAsia="宋体" w:cs="宋体"/>
          <w:b/>
          <w:bCs/>
          <w:color w:val="auto"/>
          <w:sz w:val="24"/>
          <w:szCs w:val="24"/>
          <w:highlight w:val="none"/>
        </w:rPr>
        <w:t xml:space="preserve">应为中小微企业、监狱企业、残疾人福利性单位。</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3、本项目的特定资格要求：</w:t>
      </w:r>
      <w:r>
        <w:rPr>
          <w:rFonts w:hint="eastAsia" w:ascii="宋体" w:hAnsi="宋体" w:eastAsia="宋体" w:cs="宋体"/>
          <w:color w:val="auto"/>
          <w:sz w:val="24"/>
          <w:szCs w:val="24"/>
          <w:highlight w:val="none"/>
          <w:lang w:val="en-US" w:eastAsia="zh-CN"/>
        </w:rPr>
        <w:t xml:space="preserve">具备在有效期内的测绘资质证书</w:t>
      </w:r>
      <w:r>
        <w:rPr>
          <w:rFonts w:hint="eastAsia" w:ascii="宋体" w:hAnsi="宋体" w:eastAsia="宋体" w:cs="宋体"/>
          <w:color w:val="auto"/>
          <w:sz w:val="24"/>
          <w:szCs w:val="24"/>
          <w:highlight w:val="none"/>
          <w:lang w:eastAsia="zh-CN"/>
        </w:rPr>
        <w:t xml:space="preserve">。</w:t>
      </w:r>
      <w:r/>
    </w:p>
    <w:p>
      <w:pPr>
        <w:ind w:firstLine="482"/>
        <w:spacing w:line="360" w:lineRule="auto"/>
        <w:shd w:val="clear" w:color="auto"/>
        <w:rPr>
          <w:rFonts w:hint="eastAsia" w:ascii="宋体" w:hAnsi="宋体" w:eastAsia="宋体" w:cs="宋体"/>
          <w:b/>
          <w:bCs/>
          <w:color w:val="auto"/>
          <w:sz w:val="24"/>
          <w:szCs w:val="24"/>
          <w:highlight w:val="none"/>
          <w:lang w:eastAsia="zh-CN"/>
        </w:rPr>
        <w:outlineLvl w:val="1"/>
      </w:pPr>
      <w:r>
        <w:rPr>
          <w:rFonts w:hint="eastAsia" w:ascii="宋体" w:hAnsi="宋体" w:eastAsia="宋体" w:cs="宋体"/>
          <w:b/>
          <w:bCs/>
          <w:color w:val="auto"/>
          <w:sz w:val="24"/>
          <w:szCs w:val="24"/>
          <w:highlight w:val="none"/>
        </w:rPr>
        <w:t xml:space="preserve">三、获取招标文件</w:t>
      </w:r>
      <w:r>
        <w:rPr>
          <w:rFonts w:hint="eastAsia" w:ascii="宋体" w:hAnsi="宋体" w:eastAsia="宋体" w:cs="宋体"/>
          <w:b/>
          <w:bCs/>
          <w:color w:val="auto"/>
          <w:sz w:val="24"/>
          <w:szCs w:val="24"/>
          <w:highlight w:val="none"/>
          <w:lang w:eastAsia="zh-CN"/>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时间：自招标文件公告发布之日起5个工作日。</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地点：“苏采云”系统自行下载招标文件。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方式（网上报名）：</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（1）CA证书办理</w:t>
      </w:r>
      <w:r>
        <w:rPr>
          <w:rFonts w:hint="eastAsia" w:ascii="宋体" w:hAnsi="宋体" w:eastAsia="宋体" w:cs="宋体"/>
          <w:color w:val="auto"/>
          <w:sz w:val="24"/>
          <w:szCs w:val="24"/>
          <w:highlight w:val="none"/>
          <w:lang w:eastAsia="zh-CN"/>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0512-65737699。</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（2）参与采购活动</w:t>
      </w:r>
      <w:r>
        <w:rPr>
          <w:rFonts w:hint="eastAsia" w:ascii="宋体" w:hAnsi="宋体" w:eastAsia="宋体" w:cs="宋体"/>
          <w:color w:val="auto"/>
          <w:sz w:val="24"/>
          <w:szCs w:val="24"/>
          <w:highlight w:val="none"/>
          <w:lang w:eastAsia="zh-CN"/>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924"/>
        <w:ind w:left="0"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（3）电子投标准备：</w:t>
      </w:r>
      <w:r/>
    </w:p>
    <w:p>
      <w:pPr>
        <w:pStyle w:val="924"/>
        <w:ind w:left="0"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pStyle w:val="924"/>
        <w:ind w:left="0"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在系统操作过程中如有疑问，请按以下方式联系：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注册咨询：13914088964；</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CA技术咨询服务电话：</w:t>
      </w:r>
      <w:r>
        <w:rPr>
          <w:rFonts w:hint="eastAsia" w:ascii="宋体" w:hAnsi="宋体" w:eastAsia="宋体" w:cs="宋体"/>
          <w:color w:val="auto"/>
          <w:sz w:val="24"/>
          <w:szCs w:val="24"/>
          <w:highlight w:val="none"/>
          <w:lang w:eastAsia="zh-CN"/>
        </w:rPr>
        <w:t xml:space="preserve">400-608-6099</w:t>
      </w:r>
      <w:r>
        <w:rPr>
          <w:rFonts w:hint="eastAsia" w:ascii="宋体" w:hAnsi="宋体" w:eastAsia="宋体" w:cs="宋体"/>
          <w:color w:val="auto"/>
          <w:sz w:val="24"/>
          <w:szCs w:val="24"/>
          <w:highlight w:val="none"/>
        </w:rPr>
        <w:t xml:space="preserve">；</w:t>
      </w:r>
      <w:r/>
    </w:p>
    <w:p>
      <w:pPr>
        <w:ind w:left="5" w:firstLine="518"/>
        <w:spacing w:line="360" w:lineRule="auto"/>
        <w:tabs>
          <w:tab w:val="left" w:pos="85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电子签章技术咨询服务电话</w:t>
      </w:r>
      <w:r>
        <w:rPr>
          <w:rFonts w:hint="eastAsia" w:ascii="宋体" w:hAnsi="宋体" w:eastAsia="宋体" w:cs="宋体"/>
          <w:color w:val="auto"/>
          <w:sz w:val="24"/>
          <w:szCs w:val="24"/>
          <w:highlight w:val="none"/>
          <w:lang w:eastAsia="zh-CN"/>
        </w:rPr>
        <w:t xml:space="preserve">025-83633811、025-83633812、15380932027、15371015030</w:t>
      </w:r>
      <w:r>
        <w:rPr>
          <w:rFonts w:hint="eastAsia" w:ascii="宋体" w:hAnsi="宋体" w:eastAsia="宋体" w:cs="宋体"/>
          <w:color w:val="auto"/>
          <w:sz w:val="24"/>
          <w:szCs w:val="24"/>
          <w:highlight w:val="none"/>
        </w:rPr>
        <w:t xml:space="preserve">；</w:t>
      </w:r>
      <w:r/>
    </w:p>
    <w:p>
      <w:pPr>
        <w:ind w:left="5" w:firstLine="518"/>
        <w:spacing w:line="360" w:lineRule="auto"/>
        <w:tabs>
          <w:tab w:val="left" w:pos="85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苏州市及区县“苏采云”系统使用指导与咨询：联系电话：</w:t>
      </w:r>
      <w:r>
        <w:rPr>
          <w:rFonts w:hint="eastAsia" w:ascii="宋体" w:hAnsi="宋体" w:eastAsia="宋体" w:cs="宋体"/>
          <w:color w:val="auto"/>
          <w:sz w:val="24"/>
          <w:szCs w:val="24"/>
          <w:highlight w:val="none"/>
          <w:lang w:eastAsia="zh-CN"/>
        </w:rPr>
        <w:t xml:space="preserve">13914088964、0512-69820854</w:t>
      </w:r>
      <w:r>
        <w:rPr>
          <w:rFonts w:hint="eastAsia" w:ascii="宋体" w:hAnsi="宋体" w:eastAsia="宋体" w:cs="宋体"/>
          <w:color w:val="auto"/>
          <w:sz w:val="24"/>
          <w:szCs w:val="24"/>
          <w:highlight w:val="none"/>
        </w:rPr>
        <w:t xml:space="preserve">；智能客服：登录苏采云系统后，联系系统右下方智能客服图标进行咨询。</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售价：本项目免费下载电子采购文件。</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四、提交投标文件截止时间、开标时间和地点</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 </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1、时间：</w:t>
      </w:r>
      <w:r>
        <w:rPr>
          <w:rFonts w:hint="eastAsia" w:ascii="宋体" w:hAnsi="宋体" w:eastAsia="宋体" w:cs="宋体"/>
          <w:color w:val="auto"/>
          <w:sz w:val="24"/>
          <w:szCs w:val="24"/>
          <w:highlight w:val="none"/>
          <w:lang w:eastAsia="zh-CN"/>
        </w:rPr>
        <w:t xml:space="preserve">2026年6</w:t>
      </w:r>
      <w:r>
        <w:rPr>
          <w:rFonts w:hint="eastAsia" w:ascii="宋体" w:hAnsi="宋体" w:eastAsia="宋体" w:cs="宋体"/>
          <w:color w:val="auto"/>
          <w:sz w:val="24"/>
          <w:szCs w:val="24"/>
          <w:highlight w:val="none"/>
          <w:u w:val="none"/>
        </w:rPr>
        <w:t xml:space="preserve">月5</w:t>
      </w:r>
      <w:r>
        <w:rPr>
          <w:rFonts w:hint="eastAsia" w:ascii="宋体" w:hAnsi="宋体" w:eastAsia="宋体" w:cs="宋体"/>
          <w:color w:val="auto"/>
          <w:sz w:val="24"/>
          <w:szCs w:val="24"/>
          <w:highlight w:val="none"/>
          <w:u w:val="none"/>
        </w:rPr>
        <w:t xml:space="preserve">日</w:t>
      </w:r>
      <w:r>
        <w:rPr>
          <w:rFonts w:hint="eastAsia" w:ascii="宋体" w:hAnsi="宋体" w:eastAsia="宋体" w:cs="宋体"/>
          <w:color w:val="auto"/>
          <w:sz w:val="24"/>
          <w:szCs w:val="24"/>
          <w:highlight w:val="none"/>
        </w:rPr>
        <w:t xml:space="preserve">13点</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0分（北京时间）</w:t>
      </w:r>
      <w:r>
        <w:rPr>
          <w:rFonts w:hint="eastAsia" w:ascii="宋体" w:hAnsi="宋体" w:eastAsia="宋体" w:cs="宋体"/>
          <w:color w:val="auto"/>
          <w:sz w:val="24"/>
          <w:szCs w:val="24"/>
          <w:highlight w:val="none"/>
          <w:lang w:eastAsia="zh-CN"/>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2、地点：“苏采云”系统（网址：</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"http://jszfcg.jsczt.cn/）\“开标大厅\”。" </w:instrText>
      </w:r>
      <w:r>
        <w:rPr>
          <w:rFonts w:hint="eastAsia" w:ascii="宋体" w:hAnsi="宋体" w:eastAsia="宋体" w:cs="宋体"/>
          <w:color w:val="auto"/>
          <w:sz w:val="24"/>
          <w:szCs w:val="24"/>
          <w:highlight w:val="none"/>
        </w:rPr>
        <w:fldChar w:fldCharType="separate"/>
      </w:r>
      <w:r>
        <w:rPr>
          <w:rStyle w:val="974"/>
          <w:rFonts w:hint="eastAsia" w:ascii="宋体" w:hAnsi="宋体" w:eastAsia="宋体" w:cs="宋体"/>
          <w:color w:val="auto"/>
          <w:sz w:val="24"/>
          <w:szCs w:val="24"/>
          <w:highlight w:val="none"/>
        </w:rPr>
        <w:t xml:space="preserve">http</w:t>
      </w:r>
      <w:r>
        <w:rPr>
          <w:rStyle w:val="974"/>
          <w:rFonts w:hint="eastAsia" w:ascii="宋体" w:hAnsi="宋体" w:eastAsia="宋体" w:cs="宋体"/>
          <w:color w:val="auto"/>
          <w:sz w:val="24"/>
          <w:szCs w:val="24"/>
          <w:highlight w:val="none"/>
          <w:lang w:eastAsia="zh-CN"/>
        </w:rPr>
        <w:t xml:space="preserve">：</w:t>
      </w:r>
      <w:r>
        <w:rPr>
          <w:rStyle w:val="974"/>
          <w:rFonts w:hint="eastAsia" w:ascii="宋体" w:hAnsi="宋体" w:eastAsia="宋体" w:cs="宋体"/>
          <w:color w:val="auto"/>
          <w:sz w:val="24"/>
          <w:szCs w:val="24"/>
          <w:highlight w:val="none"/>
        </w:rPr>
        <w:t xml:space="preserve">//jszfcg.jsczt.cn/）。</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 </w:t>
      </w:r>
      <w:r/>
    </w:p>
    <w:p>
      <w:pPr>
        <w:ind w:firstLine="48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3、方式：投标文件网上递交</w:t>
      </w:r>
      <w:bookmarkStart w:id="0" w:name="_Hlk90650305"/>
      <w:r/>
      <w:bookmarkEnd w:id="0"/>
      <w:r/>
      <w:bookmarkStart w:id="1" w:name="_Hlk90650417"/>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，不需要现场参加采购活动。</w:t>
      </w:r>
      <w:r/>
    </w:p>
    <w:p>
      <w:pPr>
        <w:ind w:firstLine="48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线上参加开标（开启）会方式：供应商登录“苏采云”系统，点击“开标大厅”，选择对应项目，点击进入不见面开标系统。 </w:t>
      </w:r>
      <w:r/>
    </w:p>
    <w:p>
      <w:pPr>
        <w:ind w:firstLine="480"/>
        <w:spacing w:line="360" w:lineRule="auto"/>
        <w:shd w:val="clear" w:color="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lang w:val="en-US" w:eastAsia="zh-CN"/>
        </w:rPr>
        <w:t xml:space="preserve">本项目为不见面开标（开启）项目，</w:t>
      </w:r>
      <w:r>
        <w:rPr>
          <w:rFonts w:hint="eastAsia" w:ascii="宋体" w:hAnsi="宋体" w:eastAsia="宋体" w:cs="宋体"/>
          <w:b/>
          <w:bCs/>
          <w:color w:val="auto"/>
          <w:sz w:val="24"/>
          <w:szCs w:val="24"/>
          <w:highlight w:val="none"/>
          <w:lang w:val="en-US" w:eastAsia="zh-CN"/>
        </w:rPr>
        <w:t xml:space="preserve">开启阶段供应商在【解密环节】必须使用 CA证书解密电子投标（响应）文件，如在“苏采云”系统规定的时间内未能成功解密的视为放弃参与本项目，投标无效。 </w:t>
      </w:r>
      <w:r/>
    </w:p>
    <w:p>
      <w:pPr>
        <w:ind w:firstLine="48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请供应商确保电脑、系统及其他设备（视频输入输出设备等）无误，且开启直至项目结束始终保持系统在线状态。 </w:t>
      </w:r>
      <w:bookmarkEnd w:id="1"/>
      <w:r/>
      <w:r/>
    </w:p>
    <w:p>
      <w:pPr>
        <w:ind w:firstLine="482"/>
        <w:spacing w:line="360" w:lineRule="auto"/>
        <w:rPr>
          <w:rFonts w:hint="eastAsia" w:ascii="宋体" w:hAnsi="宋体" w:eastAsia="宋体" w:cs="宋体"/>
          <w:b/>
          <w:bCs/>
          <w:color w:val="auto"/>
          <w:sz w:val="24"/>
          <w:szCs w:val="24"/>
          <w:highlight w:val="none"/>
          <w:lang w:eastAsia="zh-CN"/>
        </w:rPr>
        <w:outlineLvl w:val="1"/>
      </w:pPr>
      <w:r>
        <w:rPr>
          <w:rFonts w:hint="eastAsia" w:ascii="宋体" w:hAnsi="宋体" w:eastAsia="宋体" w:cs="宋体"/>
          <w:b/>
          <w:bCs/>
          <w:color w:val="auto"/>
          <w:sz w:val="24"/>
          <w:szCs w:val="24"/>
          <w:highlight w:val="none"/>
        </w:rPr>
        <w:t xml:space="preserve">五、公告期限</w:t>
      </w:r>
      <w:r>
        <w:rPr>
          <w:rFonts w:hint="eastAsia" w:ascii="宋体" w:hAnsi="宋体" w:eastAsia="宋体" w:cs="宋体"/>
          <w:b/>
          <w:bCs/>
          <w:color w:val="auto"/>
          <w:sz w:val="24"/>
          <w:szCs w:val="24"/>
          <w:highlight w:val="none"/>
          <w:lang w:eastAsia="zh-CN"/>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自本公告发布之日起5个工作日。</w:t>
      </w:r>
      <w:r/>
    </w:p>
    <w:p>
      <w:pPr>
        <w:numPr>
          <w:ilvl w:val="0"/>
          <w:numId w:val="0"/>
        </w:numPr>
        <w:ind w:firstLine="482"/>
        <w:spacing w:line="360" w:lineRule="auto"/>
        <w:shd w:val="clear" w:color="auto"/>
        <w:rPr>
          <w:rFonts w:hint="eastAsia" w:ascii="宋体" w:hAnsi="宋体" w:eastAsia="宋体" w:cs="宋体"/>
          <w:b/>
          <w:bCs/>
          <w:color w:val="auto"/>
          <w:sz w:val="24"/>
          <w:szCs w:val="24"/>
          <w:highlight w:val="none"/>
          <w:lang w:eastAsia="zh-CN"/>
        </w:rPr>
        <w:outlineLvl w:val="1"/>
      </w:pPr>
      <w:r>
        <w:rPr>
          <w:rFonts w:hint="eastAsia" w:ascii="宋体" w:hAnsi="宋体" w:eastAsia="宋体" w:cs="宋体"/>
          <w:b/>
          <w:bCs/>
          <w:color w:val="auto"/>
          <w:sz w:val="24"/>
          <w:szCs w:val="24"/>
          <w:highlight w:val="none"/>
          <w:lang w:val="en-US" w:eastAsia="zh-CN" w:bidi="ar-SA"/>
        </w:rPr>
        <w:t xml:space="preserve">六、</w:t>
      </w:r>
      <w:r>
        <w:rPr>
          <w:rFonts w:hint="eastAsia" w:ascii="宋体" w:hAnsi="宋体" w:eastAsia="宋体" w:cs="宋体"/>
          <w:b/>
          <w:bCs/>
          <w:color w:val="auto"/>
          <w:sz w:val="24"/>
          <w:szCs w:val="24"/>
          <w:highlight w:val="none"/>
        </w:rPr>
        <w:t xml:space="preserve">其他补充事宜</w:t>
      </w:r>
      <w:r>
        <w:rPr>
          <w:rFonts w:hint="eastAsia" w:ascii="宋体" w:hAnsi="宋体" w:eastAsia="宋体" w:cs="宋体"/>
          <w:b/>
          <w:bCs/>
          <w:color w:val="auto"/>
          <w:sz w:val="24"/>
          <w:szCs w:val="24"/>
          <w:highlight w:val="none"/>
          <w:lang w:eastAsia="zh-CN"/>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1、采购项目需要落实的政府采购政策：</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《政府采购促进中小企业发展管理办法》（财库〔2020〕46号）、《关于做好政府采购支持企业发展有关事项的通知》（苏财购〔2020〕52号）及《关于印发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苏州市政府采购促进中小企业发展实施意见&gt;的通知》（苏财购〔2022〕16号）的规定。</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《关于政府采购支持监狱企业发展有关问题的通知》（财库〔2014〕68号）。</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《关于促进残疾人就业政府采购政策的通知》（财库〔2017〕141号）。</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开评标过程中如有问题采购代理机构工作人员会及时通过报名时在投标确认函模块留存的手机号与供应商联系。此号码在开标截止之前可修改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以</w:t>
      </w:r>
      <w:r>
        <w:rPr>
          <w:rFonts w:hint="eastAsia" w:ascii="宋体" w:hAnsi="宋体" w:eastAsia="宋体" w:cs="宋体"/>
          <w:color w:val="auto"/>
          <w:sz w:val="24"/>
          <w:szCs w:val="24"/>
          <w:highlight w:val="none"/>
          <w:lang w:val="en-US" w:eastAsia="zh-CN"/>
        </w:rPr>
        <w:t xml:space="preserve">投标文件中</w:t>
      </w:r>
      <w:r>
        <w:rPr>
          <w:rFonts w:hint="eastAsia" w:ascii="宋体" w:hAnsi="宋体" w:eastAsia="宋体" w:cs="宋体"/>
          <w:color w:val="auto"/>
          <w:sz w:val="24"/>
          <w:szCs w:val="24"/>
          <w:highlight w:val="none"/>
        </w:rPr>
        <w:t xml:space="preserve">投标函保存的最新号码为准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请供应商确保该手机号开评标当日通讯畅通</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否则导致的对</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不利的后果由供应商自行承担。</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 xml:space="preserve">3、如不同供应商使用同一台电脑制作的电子响应文件的，双方“文件制作机器码”一致的，则其投标文件将被认定为无效响应。</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本项目获取招标文件截止日期之后仍可以下载</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文件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但截止日期之后下载的招标文件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视为非有效方式且不作为供应商权益受到损害的证明材料和依据。</w:t>
      </w:r>
      <w:r/>
    </w:p>
    <w:p>
      <w:pPr>
        <w:ind w:firstLine="480"/>
        <w:spacing w:line="360" w:lineRule="auto"/>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、政府采购监督电话：0512-68616651。</w:t>
      </w:r>
      <w:r/>
    </w:p>
    <w:p>
      <w:pPr>
        <w:ind w:firstLine="482"/>
        <w:spacing w:line="360" w:lineRule="auto"/>
        <w:shd w:val="clear" w:color="auto"/>
        <w:rPr>
          <w:rFonts w:hint="eastAsia" w:ascii="宋体" w:hAnsi="宋体" w:eastAsia="宋体" w:cs="宋体"/>
          <w:b/>
          <w:bCs/>
          <w:color w:val="auto"/>
          <w:sz w:val="24"/>
          <w:szCs w:val="24"/>
          <w:highlight w:val="none"/>
          <w:lang w:eastAsia="zh-CN"/>
        </w:rPr>
        <w:outlineLvl w:val="1"/>
      </w:pPr>
      <w:r>
        <w:rPr>
          <w:rFonts w:hint="eastAsia" w:ascii="宋体" w:hAnsi="宋体" w:eastAsia="宋体" w:cs="宋体"/>
          <w:b/>
          <w:bCs/>
          <w:color w:val="auto"/>
          <w:sz w:val="24"/>
          <w:szCs w:val="24"/>
          <w:highlight w:val="none"/>
        </w:rPr>
        <w:t xml:space="preserve">七、对本次招标提出询问</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请按以下方式联系</w:t>
      </w:r>
      <w:r>
        <w:rPr>
          <w:rFonts w:hint="eastAsia" w:ascii="宋体" w:hAnsi="宋体" w:eastAsia="宋体" w:cs="宋体"/>
          <w:b/>
          <w:bCs/>
          <w:color w:val="auto"/>
          <w:sz w:val="24"/>
          <w:szCs w:val="24"/>
          <w:highlight w:val="none"/>
          <w:lang w:eastAsia="zh-CN"/>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1、采购人信息：</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名称：苏州市文物保护管理所。</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地址：苏州市姑苏区定慧寺巷22—1号。</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联系方式：电话</w:t>
      </w:r>
      <w:r>
        <w:rPr>
          <w:rFonts w:hint="eastAsia" w:ascii="宋体" w:hAnsi="宋体" w:eastAsia="宋体" w:cs="宋体"/>
          <w:color w:val="auto"/>
          <w:sz w:val="24"/>
          <w:szCs w:val="24"/>
          <w:highlight w:val="none"/>
        </w:rPr>
        <w:t xml:space="preserve">0512-65225972</w:t>
      </w:r>
      <w:r>
        <w:rPr>
          <w:rFonts w:hint="eastAsia" w:ascii="宋体" w:hAnsi="宋体" w:eastAsia="宋体" w:cs="宋体"/>
          <w:color w:val="auto"/>
          <w:sz w:val="24"/>
          <w:szCs w:val="24"/>
          <w:highlight w:val="none"/>
          <w:lang w:eastAsia="zh-CN"/>
        </w:rPr>
        <w:t xml:space="preserve">。</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项目联系人：</w:t>
      </w:r>
      <w:r>
        <w:rPr>
          <w:rFonts w:hint="eastAsia" w:ascii="宋体" w:hAnsi="宋体" w:eastAsia="宋体" w:cs="宋体"/>
          <w:color w:val="auto"/>
          <w:sz w:val="24"/>
          <w:szCs w:val="24"/>
          <w:highlight w:val="none"/>
        </w:rPr>
        <w:t xml:space="preserve">熊成超</w:t>
      </w:r>
      <w:r>
        <w:rPr>
          <w:rFonts w:hint="eastAsia" w:ascii="宋体" w:hAnsi="宋体" w:eastAsia="宋体" w:cs="宋体"/>
          <w:color w:val="auto"/>
          <w:sz w:val="24"/>
          <w:szCs w:val="24"/>
          <w:highlight w:val="none"/>
          <w:lang w:eastAsia="zh-CN"/>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2、采购代理机构信息：</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名称：苏州正杰招投标咨询服务有限公司。</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地址：苏州市平泷路251号苏州城市生活广场B座1557室。</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联系方式：电话0512-62826523。</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项目联系人：沈鹰、</w:t>
      </w:r>
      <w:r>
        <w:rPr>
          <w:rFonts w:hint="eastAsia" w:ascii="宋体" w:hAnsi="宋体" w:eastAsia="宋体" w:cs="宋体"/>
          <w:color w:val="auto"/>
          <w:sz w:val="24"/>
          <w:szCs w:val="24"/>
          <w:highlight w:val="none"/>
          <w:lang w:val="en-US" w:eastAsia="zh-CN"/>
        </w:rPr>
        <w:t xml:space="preserve">陈晓梦</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徐杰</w:t>
      </w:r>
      <w:r>
        <w:rPr>
          <w:rFonts w:hint="eastAsia" w:ascii="宋体" w:hAnsi="宋体" w:eastAsia="宋体" w:cs="宋体"/>
          <w:color w:val="auto"/>
          <w:sz w:val="24"/>
          <w:szCs w:val="24"/>
          <w:highlight w:val="none"/>
        </w:rPr>
        <w:t xml:space="preserve">、刘木兰。</w:t>
      </w:r>
      <w:r/>
    </w:p>
    <w:p>
      <w:pPr>
        <w:jc w:val="center"/>
        <w:spacing w:before="120" w:line="360" w:lineRule="auto"/>
        <w:shd w:val="clear" w:color="auto"/>
        <w:rPr>
          <w:rFonts w:hint="eastAsia" w:ascii="宋体" w:hAnsi="宋体" w:eastAsia="宋体" w:cs="宋体"/>
          <w:b/>
          <w:color w:val="auto"/>
          <w:sz w:val="24"/>
          <w:szCs w:val="24"/>
          <w:highlight w:val="none"/>
        </w:rPr>
        <w:outlineLvl w:val="0"/>
      </w:pPr>
      <w:r>
        <w:rPr>
          <w:rFonts w:hint="eastAsia" w:ascii="宋体" w:hAnsi="宋体" w:eastAsia="宋体" w:cs="宋体"/>
          <w:color w:val="auto"/>
          <w:sz w:val="24"/>
          <w:highlight w:val="none"/>
        </w:rPr>
        <w:br w:type="page" w:clear="all"/>
      </w:r>
      <w:r/>
    </w:p>
    <w:p>
      <w:pPr>
        <w:jc w:val="center"/>
        <w:spacing w:line="360" w:lineRule="auto"/>
        <w:shd w:val="clear" w:color="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第二章 投标人须知</w:t>
      </w:r>
      <w:r/>
    </w:p>
    <w:p>
      <w:pPr>
        <w:ind w:firstLine="426"/>
        <w:spacing w:line="360" w:lineRule="auto"/>
        <w:tabs>
          <w:tab w:val="left" w:pos="540" w:leader="none"/>
          <w:tab w:val="left" w:pos="60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1、总则</w:t>
      </w:r>
      <w:r/>
    </w:p>
    <w:p>
      <w:pPr>
        <w:ind w:firstLine="426"/>
        <w:spacing w:line="360" w:lineRule="auto"/>
        <w:tabs>
          <w:tab w:val="left" w:pos="540" w:leader="none"/>
          <w:tab w:val="left" w:pos="60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1.1投标人资格要求</w:t>
      </w:r>
      <w:r/>
    </w:p>
    <w:p>
      <w:pPr>
        <w:ind w:firstLine="426"/>
        <w:spacing w:line="360" w:lineRule="auto"/>
        <w:tabs>
          <w:tab w:val="left" w:pos="540"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1.1.1详见第一章</w:t>
      </w:r>
      <w:r>
        <w:rPr>
          <w:rFonts w:hint="eastAsia" w:ascii="宋体" w:hAnsi="宋体" w:eastAsia="宋体" w:cs="宋体"/>
          <w:color w:val="auto"/>
          <w:sz w:val="24"/>
          <w:szCs w:val="24"/>
          <w:highlight w:val="none"/>
          <w:lang w:val="en-US" w:eastAsia="zh-CN"/>
        </w:rPr>
        <w:t xml:space="preserve">投标邀请函</w:t>
      </w:r>
      <w:r>
        <w:rPr>
          <w:rFonts w:hint="eastAsia" w:ascii="宋体" w:hAnsi="宋体" w:eastAsia="宋体" w:cs="宋体"/>
          <w:color w:val="auto"/>
          <w:sz w:val="24"/>
          <w:szCs w:val="24"/>
          <w:highlight w:val="none"/>
        </w:rPr>
        <w:t xml:space="preserve">中“二、申请人的资格要求”。</w:t>
      </w:r>
      <w:r/>
    </w:p>
    <w:p>
      <w:pPr>
        <w:ind w:firstLine="426"/>
        <w:spacing w:line="360" w:lineRule="auto"/>
        <w:tabs>
          <w:tab w:val="left" w:pos="540"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1.1.2投标人不得存在下列情形之一：</w:t>
      </w:r>
      <w:r/>
    </w:p>
    <w:p>
      <w:pPr>
        <w:ind w:firstLine="426"/>
        <w:spacing w:line="360" w:lineRule="auto"/>
        <w:tabs>
          <w:tab w:val="left" w:pos="540"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（1）苏州市财政局《关于印发苏州市市级政府采购信用记录查询和使用工作试行办法的通知》（苏财购（2017）11号）文件规定应拒绝的失信信息。</w:t>
      </w:r>
      <w:r/>
    </w:p>
    <w:p>
      <w:pPr>
        <w:ind w:firstLine="426"/>
        <w:spacing w:line="360" w:lineRule="auto"/>
        <w:tabs>
          <w:tab w:val="left" w:pos="540"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（2）为采购项目提供整体设计、规范编制或者项目管理、监理、监测等服务的供应商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不得再参加该采购项目的其他采购活动；本项目的此类供应商是：无。</w:t>
      </w:r>
      <w:r/>
    </w:p>
    <w:p>
      <w:pPr>
        <w:ind w:firstLine="426"/>
        <w:spacing w:line="360" w:lineRule="auto"/>
        <w:tabs>
          <w:tab w:val="left" w:pos="540"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（3）单位负责人为同一人或者存在直接控股、管理关系的不同供应商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不得参加同一合同项下的政府采购活动。</w:t>
      </w:r>
      <w:r/>
    </w:p>
    <w:p>
      <w:pPr>
        <w:numPr>
          <w:ilvl w:val="2"/>
          <w:numId w:val="0"/>
        </w:numPr>
        <w:ind w:left="0" w:firstLine="484"/>
        <w:spacing w:line="360" w:lineRule="auto"/>
        <w:shd w:val="clear" w:color="auto"/>
        <w:tabs>
          <w:tab w:val="left" w:pos="851" w:leader="none"/>
        </w:tabs>
        <w:rPr>
          <w:rFonts w:hint="eastAsia" w:ascii="宋体" w:hAnsi="宋体" w:eastAsia="宋体" w:cs="宋体"/>
          <w:b w:val="0"/>
          <w:bCs/>
          <w:color w:val="auto"/>
          <w:sz w:val="24"/>
          <w:szCs w:val="24"/>
          <w:highlight w:val="none"/>
        </w:rPr>
      </w:pPr>
      <w:r>
        <w:rPr>
          <w:rFonts w:hint="eastAsia" w:ascii="宋体" w:hAnsi="宋体" w:eastAsia="宋体" w:cs="宋体"/>
          <w:color w:val="auto"/>
          <w:sz w:val="24"/>
          <w:szCs w:val="24"/>
          <w:highlight w:val="none"/>
        </w:rPr>
        <w:t xml:space="preserve">1.1.3联合体投标：</w:t>
      </w:r>
      <w:r>
        <w:rPr>
          <w:rFonts w:hint="eastAsia" w:ascii="宋体" w:hAnsi="宋体" w:eastAsia="宋体" w:cs="宋体"/>
          <w:b w:val="0"/>
          <w:bCs/>
          <w:color w:val="auto"/>
          <w:sz w:val="24"/>
          <w:szCs w:val="24"/>
          <w:highlight w:val="none"/>
        </w:rPr>
        <w:t xml:space="preserve">第一章投标邀请函规定接受联合体投标的</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联合体除应符合上述资格要求外</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还应遵守以下规定：</w:t>
      </w:r>
      <w:r/>
    </w:p>
    <w:p>
      <w:pPr>
        <w:numPr>
          <w:ilvl w:val="0"/>
          <w:numId w:val="0"/>
        </w:numPr>
        <w:ind w:firstLine="484"/>
        <w:spacing w:line="360" w:lineRule="auto"/>
        <w:shd w:val="clear" w:color="auto"/>
        <w:tabs>
          <w:tab w:val="left" w:pos="851"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bidi="ar-SA"/>
        </w:rPr>
        <w:t xml:space="preserve">（1）</w:t>
      </w:r>
      <w:r>
        <w:rPr>
          <w:rFonts w:hint="eastAsia" w:ascii="宋体" w:hAnsi="宋体" w:eastAsia="宋体" w:cs="宋体"/>
          <w:b w:val="0"/>
          <w:bCs/>
          <w:color w:val="auto"/>
          <w:sz w:val="24"/>
          <w:szCs w:val="24"/>
          <w:highlight w:val="none"/>
        </w:rPr>
        <w:t xml:space="preserve">联合体各方应当向采购人提交联合体协议书</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载明联合体各方承担的工作和义务</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否则投标无效。</w:t>
      </w:r>
      <w:r/>
    </w:p>
    <w:p>
      <w:pPr>
        <w:numPr>
          <w:ilvl w:val="0"/>
          <w:numId w:val="0"/>
        </w:numPr>
        <w:ind w:firstLine="484"/>
        <w:spacing w:line="360" w:lineRule="auto"/>
        <w:shd w:val="clear" w:color="auto"/>
        <w:tabs>
          <w:tab w:val="left" w:pos="851"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bidi="ar-SA"/>
        </w:rPr>
        <w:t xml:space="preserve">（2）</w:t>
      </w:r>
      <w:r>
        <w:rPr>
          <w:rFonts w:hint="eastAsia" w:ascii="宋体" w:hAnsi="宋体" w:eastAsia="宋体" w:cs="宋体"/>
          <w:b w:val="0"/>
          <w:bCs/>
          <w:color w:val="auto"/>
          <w:sz w:val="24"/>
          <w:szCs w:val="24"/>
          <w:highlight w:val="none"/>
        </w:rPr>
        <w:t xml:space="preserve">本项目接受联合体投标</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但一个联合体最多接受两个单位进行联合投标。</w:t>
      </w:r>
      <w:r/>
    </w:p>
    <w:p>
      <w:pPr>
        <w:numPr>
          <w:ilvl w:val="0"/>
          <w:numId w:val="0"/>
        </w:numPr>
        <w:ind w:firstLine="484"/>
        <w:spacing w:line="360" w:lineRule="auto"/>
        <w:shd w:val="clear" w:color="auto"/>
        <w:tabs>
          <w:tab w:val="left" w:pos="851"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bidi="ar-SA"/>
        </w:rPr>
        <w:t xml:space="preserve">（3）</w:t>
      </w:r>
      <w:r>
        <w:rPr>
          <w:rFonts w:hint="eastAsia" w:ascii="宋体" w:hAnsi="宋体" w:eastAsia="宋体" w:cs="宋体"/>
          <w:b w:val="0"/>
          <w:bCs/>
          <w:color w:val="auto"/>
          <w:sz w:val="24"/>
          <w:szCs w:val="24"/>
          <w:highlight w:val="none"/>
        </w:rPr>
        <w:t xml:space="preserve">联合体中有同类资质的供应商按照联合体分工承担相同工作的</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应当按照资质等级较低的供应商确定资质等级。</w:t>
      </w:r>
      <w:r/>
    </w:p>
    <w:p>
      <w:pPr>
        <w:numPr>
          <w:ilvl w:val="0"/>
          <w:numId w:val="0"/>
        </w:numPr>
        <w:ind w:firstLine="484"/>
        <w:spacing w:line="360" w:lineRule="auto"/>
        <w:shd w:val="clear" w:color="auto"/>
        <w:tabs>
          <w:tab w:val="left" w:pos="851"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bidi="ar-SA"/>
        </w:rPr>
        <w:t xml:space="preserve">（4）</w:t>
      </w:r>
      <w:r>
        <w:rPr>
          <w:rFonts w:hint="eastAsia" w:ascii="宋体" w:hAnsi="宋体" w:eastAsia="宋体" w:cs="宋体"/>
          <w:b w:val="0"/>
          <w:bCs/>
          <w:color w:val="auto"/>
          <w:sz w:val="24"/>
          <w:szCs w:val="24"/>
          <w:highlight w:val="none"/>
        </w:rPr>
        <w:t xml:space="preserve">联合体各方不得再单独参加或者与其他供应商另外组成联合体参加同一合同项下的政府采购活动</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否则各相关投标均无效。</w:t>
      </w:r>
      <w:r/>
    </w:p>
    <w:p>
      <w:pPr>
        <w:numPr>
          <w:ilvl w:val="0"/>
          <w:numId w:val="0"/>
        </w:numPr>
        <w:ind w:firstLine="484"/>
        <w:spacing w:line="360" w:lineRule="auto"/>
        <w:shd w:val="clear" w:color="auto"/>
        <w:tabs>
          <w:tab w:val="left" w:pos="851"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bidi="ar-SA"/>
        </w:rPr>
        <w:t xml:space="preserve">（5）</w:t>
      </w:r>
      <w:r>
        <w:rPr>
          <w:rFonts w:hint="eastAsia" w:ascii="宋体" w:hAnsi="宋体" w:eastAsia="宋体" w:cs="宋体"/>
          <w:b w:val="0"/>
          <w:bCs/>
          <w:color w:val="auto"/>
          <w:sz w:val="24"/>
          <w:szCs w:val="24"/>
          <w:highlight w:val="none"/>
        </w:rPr>
        <w:t xml:space="preserve">联合体各方应当共同与采购人签订采购合同</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就采购合同约定的事项对采购人承担连带责任。</w:t>
      </w:r>
      <w:r/>
    </w:p>
    <w:p>
      <w:pPr>
        <w:ind w:left="525"/>
        <w:spacing w:line="360" w:lineRule="auto"/>
        <w:tabs>
          <w:tab w:val="left" w:pos="851"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1.2 分包、转包</w:t>
      </w:r>
      <w:r/>
    </w:p>
    <w:p>
      <w:pPr>
        <w:ind w:left="525"/>
        <w:spacing w:line="360" w:lineRule="auto"/>
        <w:tabs>
          <w:tab w:val="left" w:pos="851" w:leader="none"/>
        </w:tabs>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本项目不允许分包或转包。</w:t>
      </w:r>
      <w:r/>
    </w:p>
    <w:p>
      <w:pPr>
        <w:ind w:left="525"/>
        <w:spacing w:line="360" w:lineRule="auto"/>
        <w:tabs>
          <w:tab w:val="left" w:pos="851"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1.3投标费用</w:t>
      </w:r>
      <w:r/>
    </w:p>
    <w:p>
      <w:pPr>
        <w:ind w:left="525"/>
        <w:spacing w:line="360" w:lineRule="auto"/>
        <w:tabs>
          <w:tab w:val="left" w:pos="85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（1）投标人应自行承担所有准备及参加投标的相关费用。</w:t>
      </w:r>
      <w:r/>
    </w:p>
    <w:p>
      <w:pPr>
        <w:ind w:left="525"/>
        <w:spacing w:line="360" w:lineRule="auto"/>
        <w:tabs>
          <w:tab w:val="left" w:pos="851"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1.4保密</w:t>
      </w:r>
      <w:r/>
    </w:p>
    <w:p>
      <w:pPr>
        <w:ind w:left="5" w:firstLine="518"/>
        <w:spacing w:line="360" w:lineRule="auto"/>
        <w:tabs>
          <w:tab w:val="left" w:pos="85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参与采购活动的各方应对招标文件和投标文件中的商业和技术等秘密保密，否则应承担相应的法律责任。</w:t>
      </w:r>
      <w:r/>
    </w:p>
    <w:p>
      <w:pPr>
        <w:ind w:left="525"/>
        <w:spacing w:line="360" w:lineRule="auto"/>
        <w:tabs>
          <w:tab w:val="left" w:pos="851"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1.5语言文字</w:t>
      </w:r>
      <w:r/>
    </w:p>
    <w:p>
      <w:pPr>
        <w:ind w:left="5" w:firstLine="518"/>
        <w:spacing w:line="360" w:lineRule="auto"/>
        <w:tabs>
          <w:tab w:val="left" w:pos="85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投标文件使用的语言文字为中文。使用外文的，应附有中文注释或译本，对不同文本投标文件的解释发生异议的，以中文文本为准。因未附注释或译本引起的对投标人不利的后果由投标人自行承担。</w:t>
      </w:r>
      <w:r/>
    </w:p>
    <w:p>
      <w:pPr>
        <w:ind w:left="525"/>
        <w:spacing w:line="360" w:lineRule="auto"/>
        <w:tabs>
          <w:tab w:val="left" w:pos="851"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1.6计量单位</w:t>
      </w:r>
      <w:r/>
    </w:p>
    <w:p>
      <w:pPr>
        <w:ind w:left="5" w:firstLine="518"/>
        <w:spacing w:line="360" w:lineRule="auto"/>
        <w:tabs>
          <w:tab w:val="left" w:pos="85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除招标文件有特殊要求外，所有计量均采用中华人民共和国法定计量单位。</w:t>
      </w:r>
      <w:r/>
    </w:p>
    <w:p>
      <w:pPr>
        <w:ind w:left="525"/>
        <w:spacing w:line="360" w:lineRule="auto"/>
        <w:tabs>
          <w:tab w:val="left" w:pos="851"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1.7知识产权</w:t>
      </w:r>
      <w:r/>
    </w:p>
    <w:p>
      <w:pPr>
        <w:ind w:left="5" w:firstLine="518"/>
        <w:spacing w:line="360" w:lineRule="auto"/>
        <w:tabs>
          <w:tab w:val="left" w:pos="85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525"/>
        <w:spacing w:line="360" w:lineRule="auto"/>
        <w:tabs>
          <w:tab w:val="left" w:pos="851"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2、招标文件的说明</w:t>
      </w:r>
      <w:r/>
    </w:p>
    <w:p>
      <w:pPr>
        <w:ind w:left="525"/>
        <w:spacing w:line="360" w:lineRule="auto"/>
        <w:tabs>
          <w:tab w:val="left" w:pos="851"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2.1招标文件的获取见第一章</w:t>
      </w:r>
      <w:r>
        <w:rPr>
          <w:rFonts w:hint="eastAsia" w:ascii="宋体" w:hAnsi="宋体" w:eastAsia="宋体" w:cs="宋体"/>
          <w:b/>
          <w:bCs/>
          <w:color w:val="auto"/>
          <w:sz w:val="24"/>
          <w:szCs w:val="24"/>
          <w:highlight w:val="none"/>
          <w:lang w:eastAsia="zh-CN"/>
        </w:rPr>
        <w:t xml:space="preserve">投标邀请函</w:t>
      </w:r>
      <w:r>
        <w:rPr>
          <w:rFonts w:hint="eastAsia" w:ascii="宋体" w:hAnsi="宋体" w:eastAsia="宋体" w:cs="宋体"/>
          <w:b/>
          <w:bCs/>
          <w:color w:val="auto"/>
          <w:sz w:val="24"/>
          <w:szCs w:val="24"/>
          <w:highlight w:val="none"/>
        </w:rPr>
        <w:t xml:space="preserve">。</w:t>
      </w:r>
      <w:r/>
    </w:p>
    <w:p>
      <w:pPr>
        <w:ind w:left="525"/>
        <w:spacing w:line="360" w:lineRule="auto"/>
        <w:tabs>
          <w:tab w:val="left" w:pos="851"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2.2招标文件的询问</w:t>
      </w:r>
      <w:r/>
    </w:p>
    <w:p>
      <w:pPr>
        <w:ind w:firstLine="420"/>
        <w:spacing w:line="360" w:lineRule="auto"/>
        <w:tabs>
          <w:tab w:val="left" w:pos="540" w:leader="none"/>
          <w:tab w:val="left" w:pos="85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供应商在收到招标文件后，若有问题需要询问，应于下载招标文件后，可通过投标邀请函中的联系方式及时提出，采购人或采购代理机构将予以解答。</w:t>
      </w:r>
      <w:r/>
    </w:p>
    <w:p>
      <w:pPr>
        <w:ind w:left="525"/>
        <w:spacing w:line="360" w:lineRule="auto"/>
        <w:tabs>
          <w:tab w:val="left" w:pos="851"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2.3招标文件的澄清或修改</w:t>
      </w:r>
      <w:r/>
    </w:p>
    <w:p>
      <w:pPr>
        <w:ind w:left="5" w:firstLine="518"/>
        <w:spacing w:line="360" w:lineRule="auto"/>
        <w:tabs>
          <w:tab w:val="left" w:pos="851"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2.3.1采购人或采购代理机构无论出于自己的考虑，还是出于对投标人提问的澄清，均可对已发出的招标文件用补充通知（包括更正公告）的方式进行澄清或者修改，</w:t>
      </w:r>
      <w:r>
        <w:rPr>
          <w:rFonts w:hint="eastAsia" w:ascii="宋体" w:hAnsi="宋体" w:eastAsia="宋体" w:cs="宋体"/>
          <w:color w:val="auto"/>
          <w:sz w:val="24"/>
          <w:szCs w:val="24"/>
          <w:highlight w:val="none"/>
        </w:rPr>
        <w:t xml:space="preserve">并通过苏州市政府采购网对外进行发布</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但不得改变采购标的和资格条件。澄清或者修改的内容作为招标文件的组成部分，对所有投标人具有约束力。</w:t>
      </w:r>
      <w:r/>
    </w:p>
    <w:p>
      <w:pPr>
        <w:ind w:left="5" w:firstLine="518"/>
        <w:spacing w:line="360" w:lineRule="auto"/>
        <w:tabs>
          <w:tab w:val="left" w:pos="851"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2.3.2</w:t>
      </w:r>
      <w:r>
        <w:rPr>
          <w:rFonts w:hint="eastAsia" w:ascii="宋体" w:hAnsi="宋体" w:eastAsia="宋体" w:cs="宋体"/>
          <w:color w:val="auto"/>
          <w:sz w:val="24"/>
          <w:szCs w:val="24"/>
          <w:highlight w:val="none"/>
        </w:rPr>
        <w:t xml:space="preserve">为保证投标人有足够时间修正投标文件，或出于其他合理原因，</w:t>
      </w:r>
      <w:r>
        <w:rPr>
          <w:rFonts w:hint="eastAsia" w:ascii="宋体" w:hAnsi="宋体" w:eastAsia="宋体" w:cs="宋体"/>
          <w:color w:val="auto"/>
          <w:sz w:val="24"/>
          <w:szCs w:val="24"/>
          <w:highlight w:val="none"/>
          <w:lang w:val="en-US" w:eastAsia="zh-CN"/>
        </w:rPr>
        <w:t xml:space="preserve">采购人或</w:t>
      </w:r>
      <w:r>
        <w:rPr>
          <w:rFonts w:hint="eastAsia" w:ascii="宋体" w:hAnsi="宋体" w:eastAsia="宋体" w:cs="宋体"/>
          <w:color w:val="auto"/>
          <w:sz w:val="24"/>
          <w:szCs w:val="24"/>
          <w:highlight w:val="none"/>
        </w:rPr>
        <w:t xml:space="preserve">采购代理机构可依法顺延投标截止时间和开标时间。</w:t>
      </w:r>
      <w:r/>
    </w:p>
    <w:p>
      <w:pPr>
        <w:ind w:firstLine="484"/>
        <w:spacing w:line="36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2.3.3</w:t>
      </w:r>
      <w:r>
        <w:rPr>
          <w:rFonts w:hint="eastAsia" w:ascii="宋体" w:hAnsi="宋体" w:eastAsia="宋体" w:cs="宋体"/>
          <w:color w:val="auto"/>
          <w:sz w:val="24"/>
          <w:szCs w:val="24"/>
          <w:highlight w:val="none"/>
        </w:rPr>
        <w:t xml:space="preserve">供应商应及时关注“苏州市政府采购网”发布的补充通知（包括更正公告），同时可以在“苏采云”系统中下载更正（补充）资料，如有遗漏（包括但不限于文件未下载或下载不完整），可能无法解密投标（响应）文件，由此所造成的投标失败或损失由供应商自行负责。</w:t>
      </w:r>
      <w:r/>
    </w:p>
    <w:p>
      <w:pPr>
        <w:ind w:left="5" w:firstLine="518"/>
        <w:spacing w:line="360" w:lineRule="auto"/>
        <w:tabs>
          <w:tab w:val="left" w:pos="85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2.3.4</w:t>
      </w:r>
      <w:r>
        <w:rPr>
          <w:rFonts w:hint="eastAsia" w:ascii="宋体" w:hAnsi="宋体" w:eastAsia="宋体" w:cs="宋体"/>
          <w:color w:val="auto"/>
          <w:sz w:val="24"/>
          <w:szCs w:val="24"/>
          <w:highlight w:val="none"/>
        </w:rPr>
        <w:t xml:space="preserve">招标文件的澄清、修改、补充等内容均以苏州市政府采购网上发布的内容为准。</w:t>
      </w:r>
      <w:r/>
    </w:p>
    <w:p>
      <w:pPr>
        <w:ind w:left="525"/>
        <w:spacing w:line="360" w:lineRule="auto"/>
        <w:tabs>
          <w:tab w:val="left" w:pos="851"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3、投标文件的说明</w:t>
      </w:r>
      <w:r/>
    </w:p>
    <w:p>
      <w:pPr>
        <w:ind w:left="5" w:firstLine="518"/>
        <w:spacing w:line="360" w:lineRule="auto"/>
        <w:tabs>
          <w:tab w:val="left" w:pos="851"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投标人应详细阅读招标文件的全部内容，不按招标文件的要求提供的投标文件和资料，其风险由投标人自行承担，并根据有关条款规定，可能导致投标无效。</w:t>
      </w:r>
      <w:r/>
    </w:p>
    <w:p>
      <w:pPr>
        <w:ind w:left="525"/>
        <w:spacing w:line="360" w:lineRule="auto"/>
        <w:tabs>
          <w:tab w:val="left" w:pos="851" w:leader="none"/>
        </w:tabs>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3.1</w:t>
      </w:r>
      <w:r>
        <w:rPr>
          <w:rFonts w:hint="eastAsia" w:ascii="宋体" w:hAnsi="宋体" w:eastAsia="宋体" w:cs="宋体"/>
          <w:b/>
          <w:bCs/>
          <w:color w:val="auto"/>
          <w:sz w:val="24"/>
          <w:szCs w:val="24"/>
          <w:highlight w:val="none"/>
          <w:lang w:val="en-US" w:eastAsia="zh-CN"/>
        </w:rPr>
        <w:t xml:space="preserve">投标</w:t>
      </w:r>
      <w:r>
        <w:rPr>
          <w:rFonts w:hint="eastAsia" w:ascii="宋体" w:hAnsi="宋体" w:eastAsia="宋体" w:cs="宋体"/>
          <w:b/>
          <w:bCs/>
          <w:color w:val="auto"/>
          <w:sz w:val="24"/>
          <w:szCs w:val="24"/>
          <w:highlight w:val="none"/>
        </w:rPr>
        <w:t xml:space="preserve">保证金：无</w:t>
      </w:r>
      <w:r>
        <w:rPr>
          <w:rFonts w:hint="eastAsia" w:ascii="宋体" w:hAnsi="宋体" w:eastAsia="宋体" w:cs="宋体"/>
          <w:b/>
          <w:bCs/>
          <w:color w:val="auto"/>
          <w:sz w:val="24"/>
          <w:szCs w:val="24"/>
          <w:highlight w:val="none"/>
          <w:lang w:eastAsia="zh-CN"/>
        </w:rPr>
        <w:t xml:space="preserve">。</w:t>
      </w:r>
      <w:r/>
    </w:p>
    <w:p>
      <w:pPr>
        <w:ind w:left="525"/>
        <w:spacing w:line="360" w:lineRule="auto"/>
        <w:tabs>
          <w:tab w:val="left" w:pos="851"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3.2</w:t>
      </w:r>
      <w:r>
        <w:rPr>
          <w:rFonts w:hint="eastAsia" w:ascii="宋体" w:hAnsi="宋体" w:eastAsia="宋体" w:cs="宋体"/>
          <w:b/>
          <w:bCs/>
          <w:color w:val="auto"/>
          <w:sz w:val="24"/>
          <w:szCs w:val="24"/>
          <w:highlight w:val="none"/>
          <w:lang w:val="en-US" w:eastAsia="zh-CN"/>
        </w:rPr>
        <w:t xml:space="preserve">投标</w:t>
      </w:r>
      <w:r>
        <w:rPr>
          <w:rFonts w:hint="eastAsia" w:ascii="宋体" w:hAnsi="宋体" w:eastAsia="宋体" w:cs="宋体"/>
          <w:b/>
          <w:bCs/>
          <w:color w:val="auto"/>
          <w:sz w:val="24"/>
          <w:szCs w:val="24"/>
          <w:highlight w:val="none"/>
        </w:rPr>
        <w:t xml:space="preserve">文件的组成</w:t>
      </w:r>
      <w:r/>
    </w:p>
    <w:p>
      <w:pPr>
        <w:ind w:left="525"/>
        <w:spacing w:line="360" w:lineRule="auto"/>
        <w:tabs>
          <w:tab w:val="left" w:pos="851"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3.2.1封面；</w:t>
      </w:r>
      <w:r/>
    </w:p>
    <w:p>
      <w:pPr>
        <w:ind w:left="525"/>
        <w:spacing w:line="360" w:lineRule="auto"/>
        <w:tabs>
          <w:tab w:val="left" w:pos="851"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3.2.2开标一览表（格式见第三章）；</w:t>
      </w:r>
      <w:r/>
    </w:p>
    <w:p>
      <w:pPr>
        <w:ind w:left="5" w:firstLine="518"/>
        <w:spacing w:line="360" w:lineRule="auto"/>
        <w:tabs>
          <w:tab w:val="left" w:pos="851"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3.2.3公开</w:t>
      </w:r>
      <w:r>
        <w:rPr>
          <w:rFonts w:hint="eastAsia" w:ascii="宋体" w:hAnsi="宋体" w:eastAsia="宋体" w:cs="宋体"/>
          <w:b w:val="0"/>
          <w:bCs w:val="0"/>
          <w:color w:val="auto"/>
          <w:sz w:val="24"/>
          <w:szCs w:val="24"/>
          <w:highlight w:val="none"/>
        </w:rPr>
        <w:t xml:space="preserve">分项报价表</w:t>
      </w:r>
      <w:r>
        <w:rPr>
          <w:rFonts w:hint="eastAsia" w:ascii="宋体" w:hAnsi="宋体" w:eastAsia="宋体" w:cs="宋体"/>
          <w:color w:val="auto"/>
          <w:sz w:val="24"/>
          <w:szCs w:val="24"/>
          <w:highlight w:val="none"/>
          <w:lang w:val="en-US" w:eastAsia="zh-CN"/>
        </w:rPr>
        <w:t xml:space="preserve">（如有，格式见第三章）；</w:t>
      </w:r>
      <w:r/>
    </w:p>
    <w:p>
      <w:pPr>
        <w:ind w:left="5" w:firstLine="520"/>
        <w:spacing w:line="360" w:lineRule="auto"/>
        <w:tabs>
          <w:tab w:val="left" w:pos="851"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3.2.4资格审查投标文件：</w:t>
      </w:r>
      <w:r/>
    </w:p>
    <w:p>
      <w:pPr>
        <w:ind w:left="5" w:firstLine="518"/>
        <w:spacing w:line="360" w:lineRule="auto"/>
        <w:tabs>
          <w:tab w:val="left" w:pos="851"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3.2.4.1</w:t>
      </w:r>
      <w:r>
        <w:rPr>
          <w:rFonts w:hint="eastAsia" w:ascii="宋体" w:hAnsi="宋体" w:eastAsia="宋体" w:cs="宋体"/>
          <w:b w:val="0"/>
          <w:bCs w:val="0"/>
          <w:color w:val="auto"/>
          <w:sz w:val="24"/>
          <w:szCs w:val="24"/>
          <w:highlight w:val="none"/>
          <w:lang w:val="en-US" w:eastAsia="zh-CN"/>
        </w:rPr>
        <w:t xml:space="preserve">供应商</w:t>
      </w:r>
      <w:r>
        <w:rPr>
          <w:rFonts w:hint="eastAsia" w:ascii="宋体" w:hAnsi="宋体" w:eastAsia="宋体" w:cs="宋体"/>
          <w:b w:val="0"/>
          <w:bCs w:val="0"/>
          <w:color w:val="auto"/>
          <w:sz w:val="24"/>
          <w:szCs w:val="24"/>
          <w:highlight w:val="none"/>
        </w:rPr>
        <w:t xml:space="preserve">的资格要求</w:t>
      </w:r>
      <w:r>
        <w:rPr>
          <w:rFonts w:hint="eastAsia" w:ascii="宋体" w:hAnsi="宋体" w:eastAsia="宋体" w:cs="宋体"/>
          <w:b w:val="0"/>
          <w:bCs w:val="0"/>
          <w:color w:val="auto"/>
          <w:sz w:val="24"/>
          <w:szCs w:val="24"/>
          <w:highlight w:val="none"/>
          <w:lang w:eastAsia="zh-CN"/>
        </w:rPr>
        <w:t xml:space="preserve">：</w:t>
      </w:r>
      <w:r/>
    </w:p>
    <w:p>
      <w:pPr>
        <w:ind w:left="5" w:firstLine="518"/>
        <w:spacing w:line="360" w:lineRule="auto"/>
        <w:tabs>
          <w:tab w:val="left" w:pos="851"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（1）具有独立承担民事责任的能力的材料复印件：包括法人或者其他组织的营业执照等证明文件，自然人的身份证明；</w:t>
      </w:r>
      <w:r/>
    </w:p>
    <w:p>
      <w:pPr>
        <w:ind w:left="5" w:firstLine="518"/>
        <w:spacing w:line="360" w:lineRule="auto"/>
        <w:tabs>
          <w:tab w:val="left" w:pos="851"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（2）具有良好的商业信誉和健全的财务会计制度的材料：包括但不限于法人提供2024年度或2025年度经审计的财务报告或基本开户银行在本年度内出具的资信证明复印件；</w:t>
      </w:r>
      <w:r/>
    </w:p>
    <w:p>
      <w:pPr>
        <w:ind w:left="5" w:firstLine="518"/>
        <w:spacing w:line="360" w:lineRule="auto"/>
        <w:tabs>
          <w:tab w:val="left" w:pos="851"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（3）具有履行合同所必需的设备和专业技术能力的证明材料复印件或承诺；</w:t>
      </w:r>
      <w:r/>
    </w:p>
    <w:p>
      <w:pPr>
        <w:ind w:left="5" w:firstLine="518"/>
        <w:spacing w:line="360" w:lineRule="auto"/>
        <w:tabs>
          <w:tab w:val="left" w:pos="851"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具有依法缴纳税收和社会保障资金的良好记录的材料：供应商上一税收申报日缴纳增值税或企业所得税的凭据及上一社保申报日缴纳的社会保险的凭据（专用收据或社会保险缴纳清单），依法免税或不需要缴纳的供应商，应提供对应证明文件复印件；</w:t>
      </w:r>
      <w:r/>
    </w:p>
    <w:p>
      <w:pPr>
        <w:ind w:left="5" w:firstLine="518"/>
        <w:spacing w:line="360" w:lineRule="auto"/>
        <w:tabs>
          <w:tab w:val="left" w:pos="851"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（5）参加政府采购活动前三年内，在经营活动中没有出现重大违法记录的书面声明函；</w:t>
      </w:r>
      <w:r/>
    </w:p>
    <w:p>
      <w:pPr>
        <w:ind w:left="5" w:firstLine="518"/>
        <w:spacing w:line="360" w:lineRule="auto"/>
        <w:tabs>
          <w:tab w:val="left" w:pos="851"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（6）按照相关法律法规参与本项目所必须取得国家有关主管部门的行政许可证明资料复印件（如有须提供）。</w:t>
      </w:r>
      <w:r/>
    </w:p>
    <w:p>
      <w:pPr>
        <w:ind w:left="5" w:firstLine="518"/>
        <w:spacing w:line="360" w:lineRule="auto"/>
        <w:tabs>
          <w:tab w:val="left" w:pos="851"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（7）《中小企业声明函》或《残疾人福利性单位声明函》或由省级以上监狱管理局、戒毒管理局（含新疆生产建设兵团）出具的属于监狱企业的证明文件；</w:t>
      </w:r>
      <w:r/>
    </w:p>
    <w:p>
      <w:pPr>
        <w:ind w:left="5" w:firstLine="518"/>
        <w:spacing w:line="360" w:lineRule="auto"/>
        <w:tabs>
          <w:tab w:val="left" w:pos="851"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（8）具备在有效期内的测绘资质证书。</w:t>
      </w:r>
      <w:r/>
    </w:p>
    <w:p>
      <w:pPr>
        <w:ind w:left="5" w:firstLine="518"/>
        <w:spacing w:line="360" w:lineRule="auto"/>
        <w:tabs>
          <w:tab w:val="left" w:pos="851" w:leader="none"/>
        </w:tabs>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3.2.4.2其他有关资格证明的文件（若有）。</w:t>
      </w:r>
      <w:r/>
    </w:p>
    <w:p>
      <w:pPr>
        <w:ind w:left="5" w:firstLine="520"/>
        <w:spacing w:line="360" w:lineRule="auto"/>
        <w:tabs>
          <w:tab w:val="left" w:pos="851"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3.2.5符合性审查投标文件：</w:t>
      </w:r>
      <w:r/>
    </w:p>
    <w:p>
      <w:pPr>
        <w:ind w:left="5" w:firstLine="518"/>
        <w:spacing w:line="360" w:lineRule="auto"/>
        <w:tabs>
          <w:tab w:val="left" w:pos="851"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3.2.5.1投标函（格式见第三章）；</w:t>
      </w:r>
      <w:r/>
    </w:p>
    <w:p>
      <w:pPr>
        <w:ind w:left="5" w:firstLine="518"/>
        <w:spacing w:line="360" w:lineRule="auto"/>
        <w:tabs>
          <w:tab w:val="left" w:pos="851"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3.2.5.2</w:t>
      </w:r>
      <w:r>
        <w:rPr>
          <w:rFonts w:hint="eastAsia" w:ascii="宋体" w:hAnsi="宋体" w:eastAsia="宋体" w:cs="宋体"/>
          <w:color w:val="auto"/>
          <w:sz w:val="24"/>
          <w:szCs w:val="24"/>
          <w:highlight w:val="none"/>
        </w:rPr>
        <w:t xml:space="preserve">关于资格文件的声明函</w:t>
      </w:r>
      <w:r>
        <w:rPr>
          <w:rFonts w:hint="eastAsia" w:ascii="宋体" w:hAnsi="宋体" w:eastAsia="宋体" w:cs="宋体"/>
          <w:color w:val="auto"/>
          <w:sz w:val="24"/>
          <w:szCs w:val="24"/>
          <w:highlight w:val="none"/>
          <w:lang w:val="en-US" w:eastAsia="zh-CN"/>
        </w:rPr>
        <w:t xml:space="preserve">（格式见第三章）；</w:t>
      </w:r>
      <w:r/>
    </w:p>
    <w:p>
      <w:pPr>
        <w:ind w:left="5" w:firstLine="518"/>
        <w:spacing w:line="360" w:lineRule="auto"/>
        <w:tabs>
          <w:tab w:val="left" w:pos="851"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3.2.5.3法定代表人身份证复印件；</w:t>
      </w:r>
      <w:r/>
    </w:p>
    <w:p>
      <w:pPr>
        <w:ind w:left="5" w:firstLine="518"/>
        <w:spacing w:line="360" w:lineRule="auto"/>
        <w:tabs>
          <w:tab w:val="left" w:pos="851"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3.2.5.4法定代表人授权委托书及授权委托人身份证复印件（如有授权，格式见第三章）；</w:t>
      </w:r>
      <w:r/>
    </w:p>
    <w:p>
      <w:pPr>
        <w:ind w:left="5" w:firstLine="518"/>
        <w:spacing w:line="360" w:lineRule="auto"/>
        <w:tabs>
          <w:tab w:val="left" w:pos="851"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3.2.5.5未被“信用中国”及“中国政府采购网”列入失信被执行人、重大税收违法案件当事人名单、政府采购严重失信行为记录名单的查询记录页面截图；</w:t>
      </w:r>
      <w:r/>
    </w:p>
    <w:p>
      <w:pPr>
        <w:ind w:left="5" w:firstLine="518"/>
        <w:spacing w:line="360" w:lineRule="auto"/>
        <w:tabs>
          <w:tab w:val="left" w:pos="851"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3.2.5.6对属于《节能产品政府采购品目清单》政府强制采购产品的，须提供该产品有效期内的认证等相关证明材料（若有）；</w:t>
      </w:r>
      <w:r/>
    </w:p>
    <w:p>
      <w:pPr>
        <w:ind w:left="5" w:firstLine="518"/>
        <w:spacing w:line="360" w:lineRule="auto"/>
        <w:tabs>
          <w:tab w:val="left" w:pos="851"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3.2.5.7其他有关符合性证明的文件（若有）。</w:t>
      </w:r>
      <w:r/>
    </w:p>
    <w:p>
      <w:pPr>
        <w:ind w:left="5" w:firstLine="520"/>
        <w:spacing w:line="360" w:lineRule="auto"/>
        <w:tabs>
          <w:tab w:val="left" w:pos="851"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3.2.6综合评审投标文件（见</w:t>
      </w:r>
      <w:r>
        <w:rPr>
          <w:rFonts w:hint="eastAsia" w:ascii="宋体" w:hAnsi="宋体" w:eastAsia="宋体" w:cs="宋体"/>
          <w:b/>
          <w:bCs/>
          <w:color w:val="auto"/>
          <w:sz w:val="24"/>
          <w:szCs w:val="24"/>
          <w:highlight w:val="none"/>
        </w:rPr>
        <w:t xml:space="preserve">第六章</w:t>
      </w:r>
      <w:r>
        <w:rPr>
          <w:rFonts w:hint="eastAsia" w:ascii="宋体" w:hAnsi="宋体" w:eastAsia="宋体" w:cs="宋体"/>
          <w:b/>
          <w:bCs/>
          <w:color w:val="auto"/>
          <w:sz w:val="24"/>
          <w:szCs w:val="24"/>
          <w:highlight w:val="none"/>
          <w:lang w:val="en-US" w:eastAsia="zh-CN"/>
        </w:rPr>
        <w:t xml:space="preserve">）；</w:t>
      </w:r>
      <w:r/>
    </w:p>
    <w:p>
      <w:pPr>
        <w:ind w:left="5" w:firstLine="518"/>
        <w:spacing w:line="360" w:lineRule="auto"/>
        <w:tabs>
          <w:tab w:val="left" w:pos="851"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3.2.7与本次采购相关的其他证明材料。</w:t>
      </w:r>
      <w:r/>
    </w:p>
    <w:p>
      <w:pPr>
        <w:ind w:left="5" w:firstLine="520"/>
        <w:spacing w:line="360" w:lineRule="auto"/>
        <w:tabs>
          <w:tab w:val="left" w:pos="851"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注：</w:t>
      </w:r>
      <w:r/>
    </w:p>
    <w:p>
      <w:pPr>
        <w:ind w:left="5" w:firstLine="520"/>
        <w:spacing w:line="360" w:lineRule="auto"/>
        <w:tabs>
          <w:tab w:val="left" w:pos="851"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以上3.2.2-3.2.3项为供应商报价的依据，投标供应商必须提供并加盖电子公章，</w:t>
      </w:r>
      <w:r>
        <w:rPr>
          <w:rFonts w:hint="eastAsia" w:ascii="宋体" w:hAnsi="宋体" w:eastAsia="宋体" w:cs="宋体"/>
          <w:b/>
          <w:bCs/>
          <w:color w:val="auto"/>
          <w:sz w:val="24"/>
          <w:szCs w:val="24"/>
          <w:highlight w:val="none"/>
          <w:lang w:val="en-US" w:eastAsia="zh-CN" w:bidi="ar-SA"/>
        </w:rPr>
        <w:t xml:space="preserve">否则，</w:t>
      </w:r>
      <w:r>
        <w:rPr>
          <w:rFonts w:hint="eastAsia" w:ascii="宋体" w:hAnsi="宋体" w:eastAsia="宋体" w:cs="宋体"/>
          <w:b/>
          <w:bCs/>
          <w:color w:val="auto"/>
          <w:sz w:val="24"/>
          <w:szCs w:val="24"/>
          <w:highlight w:val="none"/>
          <w:lang w:val="en-US" w:eastAsia="zh-CN"/>
        </w:rPr>
        <w:t xml:space="preserve">投标</w:t>
      </w:r>
      <w:r>
        <w:rPr>
          <w:rFonts w:hint="eastAsia" w:ascii="宋体" w:hAnsi="宋体" w:eastAsia="宋体" w:cs="宋体"/>
          <w:b/>
          <w:bCs/>
          <w:color w:val="auto"/>
          <w:sz w:val="24"/>
          <w:szCs w:val="24"/>
          <w:highlight w:val="none"/>
          <w:lang w:val="en-US" w:eastAsia="zh-CN" w:bidi="ar-SA"/>
        </w:rPr>
        <w:t xml:space="preserve">文件将被认定为未实质性响应。</w:t>
      </w:r>
      <w:r/>
    </w:p>
    <w:p>
      <w:pPr>
        <w:ind w:left="5" w:firstLine="520"/>
        <w:spacing w:line="360" w:lineRule="auto"/>
        <w:tabs>
          <w:tab w:val="left" w:pos="851"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以上</w:t>
      </w:r>
      <w:r>
        <w:rPr>
          <w:rFonts w:hint="eastAsia" w:ascii="宋体" w:hAnsi="宋体" w:eastAsia="宋体" w:cs="宋体"/>
          <w:b/>
          <w:bCs/>
          <w:color w:val="auto"/>
          <w:sz w:val="24"/>
          <w:szCs w:val="24"/>
        </w:rPr>
        <w:t xml:space="preserve">3.2.4.1-3.2.4.2</w:t>
      </w:r>
      <w:r>
        <w:rPr>
          <w:rFonts w:hint="eastAsia" w:ascii="宋体" w:hAnsi="宋体" w:eastAsia="宋体" w:cs="宋体"/>
          <w:b/>
          <w:bCs/>
          <w:color w:val="auto"/>
          <w:sz w:val="24"/>
          <w:szCs w:val="24"/>
          <w:highlight w:val="none"/>
          <w:lang w:val="en-US" w:eastAsia="zh-CN"/>
        </w:rPr>
        <w:t xml:space="preserve">项为资格审查提供的资料，是作为对供应商资格审查、质疑身份认定的依据，响应供应商必须提供并加盖电子公章，否则，投标文件将被认定为不符合资格审查要求。</w:t>
      </w:r>
      <w:r/>
    </w:p>
    <w:p>
      <w:pPr>
        <w:ind w:firstLine="482"/>
        <w:spacing w:line="360" w:lineRule="auto"/>
        <w:shd w:val="clear" w:color="auto"/>
        <w:tabs>
          <w:tab w:val="left" w:pos="0" w:leader="none"/>
          <w:tab w:val="left" w:pos="600" w:leader="none"/>
        </w:tabs>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以上3.2.5.1-3.2.5.4为符合性审查必须提供的资料，</w:t>
      </w:r>
      <w:r>
        <w:rPr>
          <w:rFonts w:hint="eastAsia" w:ascii="宋体" w:hAnsi="宋体" w:eastAsia="宋体" w:cs="宋体"/>
          <w:b/>
          <w:bCs/>
          <w:color w:val="auto"/>
          <w:sz w:val="24"/>
          <w:szCs w:val="24"/>
          <w:highlight w:val="none"/>
          <w:lang w:val="en-US" w:eastAsia="zh-CN"/>
        </w:rPr>
        <w:t xml:space="preserve">投标</w:t>
      </w:r>
      <w:r>
        <w:rPr>
          <w:rFonts w:hint="eastAsia" w:ascii="宋体" w:hAnsi="宋体" w:eastAsia="宋体" w:cs="宋体"/>
          <w:b/>
          <w:bCs/>
          <w:color w:val="auto"/>
          <w:sz w:val="24"/>
          <w:szCs w:val="24"/>
          <w:highlight w:val="none"/>
          <w:lang w:val="en-US" w:eastAsia="zh-CN" w:bidi="ar-SA"/>
        </w:rPr>
        <w:t xml:space="preserve">供应商必须提供并加盖</w:t>
      </w:r>
      <w:r>
        <w:rPr>
          <w:rFonts w:hint="eastAsia" w:ascii="宋体" w:hAnsi="宋体" w:eastAsia="宋体" w:cs="宋体"/>
          <w:b/>
          <w:bCs/>
          <w:color w:val="auto"/>
          <w:sz w:val="24"/>
          <w:szCs w:val="24"/>
          <w:highlight w:val="none"/>
          <w:lang w:val="en-US" w:eastAsia="zh-CN"/>
        </w:rPr>
        <w:t xml:space="preserve">电子公章</w:t>
      </w:r>
      <w:r>
        <w:rPr>
          <w:rFonts w:hint="eastAsia" w:ascii="宋体" w:hAnsi="宋体" w:eastAsia="宋体" w:cs="宋体"/>
          <w:b/>
          <w:bCs/>
          <w:color w:val="auto"/>
          <w:sz w:val="24"/>
          <w:szCs w:val="24"/>
          <w:highlight w:val="none"/>
          <w:lang w:val="en-US" w:eastAsia="zh-CN" w:bidi="ar-SA"/>
        </w:rPr>
        <w:t xml:space="preserve">，否则，</w:t>
      </w:r>
      <w:r>
        <w:rPr>
          <w:rFonts w:hint="eastAsia" w:ascii="宋体" w:hAnsi="宋体" w:eastAsia="宋体" w:cs="宋体"/>
          <w:b/>
          <w:bCs/>
          <w:color w:val="auto"/>
          <w:sz w:val="24"/>
          <w:szCs w:val="24"/>
          <w:highlight w:val="none"/>
          <w:lang w:val="en-US" w:eastAsia="zh-CN"/>
        </w:rPr>
        <w:t xml:space="preserve">投标</w:t>
      </w:r>
      <w:r>
        <w:rPr>
          <w:rFonts w:hint="eastAsia" w:ascii="宋体" w:hAnsi="宋体" w:eastAsia="宋体" w:cs="宋体"/>
          <w:b/>
          <w:bCs/>
          <w:color w:val="auto"/>
          <w:sz w:val="24"/>
          <w:szCs w:val="24"/>
          <w:highlight w:val="none"/>
          <w:lang w:val="en-US" w:eastAsia="zh-CN" w:bidi="ar-SA"/>
        </w:rPr>
        <w:t xml:space="preserve">将被认定为未实质性响应。</w:t>
      </w:r>
      <w:r/>
    </w:p>
    <w:p>
      <w:pPr>
        <w:ind w:left="5" w:firstLine="520"/>
        <w:spacing w:line="360" w:lineRule="auto"/>
        <w:tabs>
          <w:tab w:val="left" w:pos="851" w:leader="none"/>
        </w:tabs>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制作电子投标文件时需与投标文件制作软件目录一一对应，将相关资料上传至相应模块。</w:t>
      </w:r>
      <w:r/>
    </w:p>
    <w:p>
      <w:pPr>
        <w:ind w:left="5" w:firstLine="520"/>
        <w:spacing w:line="360" w:lineRule="auto"/>
        <w:tabs>
          <w:tab w:val="left" w:pos="851"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供应商应保证上传的</w:t>
      </w:r>
      <w:r>
        <w:rPr>
          <w:rFonts w:hint="eastAsia" w:ascii="宋体" w:hAnsi="宋体" w:eastAsia="宋体" w:cs="宋体"/>
          <w:b/>
          <w:bCs/>
          <w:color w:val="auto"/>
          <w:sz w:val="24"/>
          <w:szCs w:val="24"/>
          <w:highlight w:val="none"/>
          <w:lang w:val="en-US" w:eastAsia="zh-CN" w:bidi="ar-SA"/>
        </w:rPr>
        <w:t xml:space="preserve">投标</w:t>
      </w:r>
      <w:r>
        <w:rPr>
          <w:rFonts w:hint="eastAsia" w:ascii="宋体" w:hAnsi="宋体" w:eastAsia="宋体" w:cs="宋体"/>
          <w:b/>
          <w:bCs/>
          <w:color w:val="auto"/>
          <w:sz w:val="24"/>
          <w:szCs w:val="24"/>
          <w:highlight w:val="none"/>
          <w:lang w:val="en-US" w:eastAsia="zh-CN"/>
        </w:rPr>
        <w:t xml:space="preserve">文件完整、清晰可辨认，若因上传资料过小或模糊不清等无法辨认的都视为该资料未提供。</w:t>
      </w:r>
      <w:r/>
    </w:p>
    <w:p>
      <w:pPr>
        <w:ind w:firstLine="472"/>
        <w:spacing w:line="360" w:lineRule="auto"/>
        <w:tabs>
          <w:tab w:val="left" w:pos="540" w:leader="none"/>
          <w:tab w:val="left" w:pos="851"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如供应商</w:t>
      </w:r>
      <w:r>
        <w:rPr>
          <w:rFonts w:hint="eastAsia" w:ascii="宋体" w:hAnsi="宋体" w:eastAsia="宋体" w:cs="宋体"/>
          <w:b/>
          <w:bCs/>
          <w:color w:val="auto"/>
          <w:sz w:val="24"/>
          <w:szCs w:val="24"/>
          <w:highlight w:val="none"/>
          <w:lang w:val="en-US" w:eastAsia="zh-CN" w:bidi="ar-SA"/>
        </w:rPr>
        <w:t xml:space="preserve">投标</w:t>
      </w:r>
      <w:r>
        <w:rPr>
          <w:rFonts w:hint="eastAsia" w:ascii="宋体" w:hAnsi="宋体" w:eastAsia="宋体" w:cs="宋体"/>
          <w:b/>
          <w:bCs/>
          <w:color w:val="auto"/>
          <w:sz w:val="24"/>
          <w:szCs w:val="24"/>
          <w:highlight w:val="none"/>
        </w:rPr>
        <w:t xml:space="preserve">文件中某些条款不响应</w:t>
      </w:r>
      <w:r>
        <w:rPr>
          <w:rFonts w:hint="eastAsia" w:ascii="宋体" w:hAnsi="宋体" w:eastAsia="宋体" w:cs="宋体"/>
          <w:b/>
          <w:bCs/>
          <w:color w:val="auto"/>
          <w:sz w:val="24"/>
          <w:szCs w:val="24"/>
          <w:highlight w:val="none"/>
          <w:lang w:eastAsia="zh-CN"/>
        </w:rPr>
        <w:t xml:space="preserve">招标文件</w:t>
      </w:r>
      <w:r>
        <w:rPr>
          <w:rFonts w:hint="eastAsia" w:ascii="宋体" w:hAnsi="宋体" w:eastAsia="宋体" w:cs="宋体"/>
          <w:b/>
          <w:bCs/>
          <w:color w:val="auto"/>
          <w:sz w:val="24"/>
          <w:szCs w:val="24"/>
          <w:highlight w:val="none"/>
        </w:rPr>
        <w:t xml:space="preserve">提出的全部服务内容与要求</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须在</w:t>
      </w:r>
      <w:r>
        <w:rPr>
          <w:rFonts w:hint="eastAsia" w:ascii="宋体" w:hAnsi="宋体" w:eastAsia="宋体" w:cs="宋体"/>
          <w:b/>
          <w:bCs/>
          <w:color w:val="auto"/>
          <w:sz w:val="24"/>
          <w:szCs w:val="24"/>
          <w:highlight w:val="none"/>
          <w:lang w:val="en-US" w:eastAsia="zh-CN" w:bidi="ar-SA"/>
        </w:rPr>
        <w:t xml:space="preserve">投标</w:t>
      </w:r>
      <w:r>
        <w:rPr>
          <w:rFonts w:hint="eastAsia" w:ascii="宋体" w:hAnsi="宋体" w:eastAsia="宋体" w:cs="宋体"/>
          <w:b/>
          <w:bCs/>
          <w:color w:val="auto"/>
          <w:sz w:val="24"/>
          <w:szCs w:val="24"/>
          <w:highlight w:val="none"/>
        </w:rPr>
        <w:t xml:space="preserve">文件中逐条列出</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未列出的视同响应。</w:t>
      </w:r>
      <w:r/>
    </w:p>
    <w:p>
      <w:pPr>
        <w:ind w:firstLine="482"/>
        <w:spacing w:line="360" w:lineRule="auto"/>
        <w:tabs>
          <w:tab w:val="left" w:pos="142" w:leader="none"/>
          <w:tab w:val="left" w:pos="600" w:leader="none"/>
        </w:tabs>
        <w:rPr>
          <w:rFonts w:hint="eastAsia" w:ascii="宋体" w:hAnsi="宋体" w:eastAsia="宋体" w:cs="宋体"/>
          <w:color w:val="auto"/>
          <w:highlight w:val="none"/>
        </w:rPr>
      </w:pPr>
      <w:r>
        <w:rPr>
          <w:rFonts w:hint="eastAsia" w:ascii="宋体" w:hAnsi="宋体" w:eastAsia="宋体" w:cs="宋体"/>
          <w:b/>
          <w:color w:val="auto"/>
          <w:sz w:val="24"/>
          <w:szCs w:val="24"/>
          <w:highlight w:val="none"/>
          <w:lang w:val="en-US" w:eastAsia="zh-CN"/>
        </w:rPr>
        <w:t xml:space="preserve">如不同供应商使用同一台电脑制作的电子</w:t>
      </w:r>
      <w:r>
        <w:rPr>
          <w:rFonts w:hint="eastAsia" w:ascii="宋体" w:hAnsi="宋体" w:eastAsia="宋体" w:cs="宋体"/>
          <w:b/>
          <w:bCs/>
          <w:color w:val="auto"/>
          <w:sz w:val="24"/>
          <w:szCs w:val="24"/>
          <w:highlight w:val="none"/>
          <w:lang w:val="en-US" w:eastAsia="zh-CN" w:bidi="ar-SA"/>
        </w:rPr>
        <w:t xml:space="preserve">投标</w:t>
      </w:r>
      <w:r>
        <w:rPr>
          <w:rFonts w:hint="eastAsia" w:ascii="宋体" w:hAnsi="宋体" w:eastAsia="宋体" w:cs="宋体"/>
          <w:b/>
          <w:color w:val="auto"/>
          <w:sz w:val="24"/>
          <w:szCs w:val="24"/>
          <w:highlight w:val="none"/>
          <w:lang w:val="en-US" w:eastAsia="zh-CN"/>
        </w:rPr>
        <w:t xml:space="preserve">文件的，双方“文件制作机器码”一致的，则其</w:t>
      </w:r>
      <w:r>
        <w:rPr>
          <w:rFonts w:hint="eastAsia" w:ascii="宋体" w:hAnsi="宋体" w:eastAsia="宋体" w:cs="宋体"/>
          <w:b/>
          <w:bCs/>
          <w:color w:val="auto"/>
          <w:sz w:val="24"/>
          <w:szCs w:val="24"/>
          <w:highlight w:val="none"/>
          <w:lang w:val="en-US" w:eastAsia="zh-CN" w:bidi="ar-SA"/>
        </w:rPr>
        <w:t xml:space="preserve">投标</w:t>
      </w:r>
      <w:r>
        <w:rPr>
          <w:rFonts w:hint="eastAsia" w:ascii="宋体" w:hAnsi="宋体" w:eastAsia="宋体" w:cs="宋体"/>
          <w:b/>
          <w:color w:val="auto"/>
          <w:sz w:val="24"/>
          <w:szCs w:val="24"/>
          <w:highlight w:val="none"/>
          <w:lang w:val="en-US" w:eastAsia="zh-CN"/>
        </w:rPr>
        <w:t xml:space="preserve">文件将被认定为无效响应。</w:t>
      </w:r>
      <w:r/>
    </w:p>
    <w:p>
      <w:pPr>
        <w:ind w:left="525"/>
        <w:spacing w:line="360" w:lineRule="auto"/>
        <w:tabs>
          <w:tab w:val="left" w:pos="142" w:leader="none"/>
          <w:tab w:val="left" w:pos="600" w:leader="none"/>
        </w:tabs>
        <w:rPr>
          <w:rFonts w:hint="eastAsia" w:ascii="宋体" w:hAnsi="宋体" w:eastAsia="宋体" w:cs="宋体"/>
          <w:bCs/>
          <w:color w:val="auto"/>
          <w:sz w:val="24"/>
          <w:szCs w:val="24"/>
          <w:highlight w:val="none"/>
        </w:rPr>
      </w:pPr>
      <w:r>
        <w:rPr>
          <w:rFonts w:hint="eastAsia" w:ascii="宋体" w:hAnsi="宋体" w:eastAsia="宋体" w:cs="宋体"/>
          <w:b/>
          <w:color w:val="auto"/>
          <w:sz w:val="24"/>
          <w:szCs w:val="24"/>
          <w:highlight w:val="none"/>
        </w:rPr>
        <w:t xml:space="preserve">3.3</w:t>
      </w:r>
      <w:r>
        <w:rPr>
          <w:rFonts w:hint="eastAsia" w:ascii="宋体" w:hAnsi="宋体" w:eastAsia="宋体" w:cs="宋体"/>
          <w:b/>
          <w:color w:val="auto"/>
          <w:sz w:val="24"/>
          <w:szCs w:val="24"/>
          <w:highlight w:val="none"/>
          <w:lang w:val="en-US" w:eastAsia="zh-CN"/>
        </w:rPr>
        <w:t xml:space="preserve">投标报价</w:t>
      </w:r>
      <w:r/>
    </w:p>
    <w:p>
      <w:pPr>
        <w:ind w:left="5" w:firstLine="518"/>
        <w:spacing w:line="360" w:lineRule="auto"/>
        <w:tabs>
          <w:tab w:val="left" w:pos="851"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3.3.1投标报价应包括完成本招标项目全部内容的一切费用，除非合同条款中另有规定，投标人所报价格在合同实施期间不因市场变化因素而变动。</w:t>
      </w:r>
      <w:r/>
    </w:p>
    <w:p>
      <w:pPr>
        <w:ind w:left="5" w:firstLine="518"/>
        <w:spacing w:line="360" w:lineRule="auto"/>
        <w:tabs>
          <w:tab w:val="left" w:pos="851"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3.3.2如果招标文件要求分标段投标的，则投标人可以根据自身经营许可范围，选择投标其中部分或者全部标段，但各标段应分别计算填写单价和总价。</w:t>
      </w:r>
      <w:r/>
    </w:p>
    <w:p>
      <w:pPr>
        <w:ind w:left="5" w:firstLine="518"/>
        <w:spacing w:line="360" w:lineRule="auto"/>
        <w:tabs>
          <w:tab w:val="left" w:pos="851"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3.3.3投标人应对招标文件内所要采购的全部内容进行报价，只对其中部分内容报价的，投标无效。</w:t>
      </w:r>
      <w:r/>
    </w:p>
    <w:p>
      <w:pPr>
        <w:ind w:left="5" w:firstLine="518"/>
        <w:spacing w:line="360" w:lineRule="auto"/>
        <w:tabs>
          <w:tab w:val="left" w:pos="851"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3.3.4投标报价超过招标文件中规定的预算金额或者最高限价的，或者各标的物的单价超过该项预算单价的（针对招标文件标明预算单价的项目），其投标无效。</w:t>
      </w:r>
      <w:r/>
    </w:p>
    <w:p>
      <w:pPr>
        <w:ind w:left="5" w:firstLine="518"/>
        <w:spacing w:line="360" w:lineRule="auto"/>
        <w:tabs>
          <w:tab w:val="left" w:pos="851"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3.2.5一项投标内容只允许一个报价，任何有选择性投标报价的，其投标无效。</w:t>
      </w:r>
      <w:r/>
    </w:p>
    <w:p>
      <w:pPr>
        <w:ind w:left="5" w:firstLine="518"/>
        <w:spacing w:line="360" w:lineRule="auto"/>
        <w:tabs>
          <w:tab w:val="left" w:pos="851"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3.3.6投标文件报价中的单价和总价全部采用人民币表示，除非另有规定。</w:t>
      </w:r>
      <w:r/>
    </w:p>
    <w:p>
      <w:pPr>
        <w:ind w:left="525"/>
        <w:spacing w:line="360" w:lineRule="auto"/>
        <w:tabs>
          <w:tab w:val="left" w:pos="142" w:leader="none"/>
          <w:tab w:val="left" w:pos="60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3.4电子投标文件的编制与提交</w:t>
      </w:r>
      <w:r/>
    </w:p>
    <w:p>
      <w:pPr>
        <w:ind w:left="5" w:firstLine="518"/>
        <w:spacing w:line="360" w:lineRule="auto"/>
        <w:tabs>
          <w:tab w:val="left" w:pos="851" w:leader="none"/>
        </w:tabs>
        <w:rPr>
          <w:rFonts w:hint="eastAsia" w:ascii="宋体" w:hAnsi="宋体" w:eastAsia="宋体" w:cs="宋体"/>
          <w:color w:val="auto"/>
          <w:sz w:val="24"/>
          <w:szCs w:val="24"/>
          <w:highlight w:val="none"/>
          <w:lang w:val="en-US" w:eastAsia="zh-CN"/>
        </w:rPr>
      </w:pPr>
      <w:r/>
      <w:bookmarkStart w:id="2" w:name="_Hlk154589874"/>
      <w:r>
        <w:rPr>
          <w:rFonts w:hint="eastAsia" w:ascii="宋体" w:hAnsi="宋体" w:eastAsia="宋体" w:cs="宋体"/>
          <w:color w:val="auto"/>
          <w:sz w:val="24"/>
          <w:szCs w:val="24"/>
          <w:highlight w:val="none"/>
          <w:lang w:val="en-US" w:eastAsia="zh-CN"/>
        </w:rPr>
        <w:t xml:space="preserve">3.4.1投标文件编制要求：本项目为网上招投标项目，请供应商插入CA 证书登录“苏采云”系统下载客户端（参与项目页面可下载客户端及客户端使用说明），在客户端编制电子投标文件并进行CA加密。操作步骤详见“苏采云”系统页面提示和《操作手册》。</w:t>
      </w:r>
      <w:r/>
    </w:p>
    <w:p>
      <w:pPr>
        <w:ind w:left="5" w:firstLine="518"/>
        <w:spacing w:line="360" w:lineRule="auto"/>
        <w:tabs>
          <w:tab w:val="left" w:pos="851"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3.4.2电子投标文件递交：供应商应当按照《操作手册》指引，在投标文件提交截止时间前完成电子投标文件的上传，未按要求成功上传的投标文件视为未递交。供应商应充分考虑到网络环境、网络带宽等风险因素，如因供应商自身原因造成的电子响应文件上传不成功由供应商自行承担全部责任。</w:t>
      </w:r>
      <w:r/>
    </w:p>
    <w:p>
      <w:pPr>
        <w:ind w:left="5" w:firstLine="518"/>
        <w:spacing w:line="360" w:lineRule="auto"/>
        <w:tabs>
          <w:tab w:val="left" w:pos="851"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注：（1）请供应商务必保管好编制递交电子投标文件时使用的CA，如因丢失、损坏等原因更换CA锁时，需重新制作电子投标文件并递交，否则可能无法解密，因此导致的响应失败等不利后果由供应商自行承担。</w:t>
      </w:r>
      <w:r/>
    </w:p>
    <w:p>
      <w:pPr>
        <w:ind w:left="5" w:firstLine="518"/>
        <w:spacing w:line="360" w:lineRule="auto"/>
        <w:tabs>
          <w:tab w:val="left" w:pos="851"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如本项目在政府采购信息发布媒体上发布了更正（补充）公告，请供应商务必在“苏采云”系统中下载更正（补充）资料，根据更正后的招标文件重新编制电子响应文件并递交，否则可能无法解密，因此导致的响应失败等不利后果由供应商自行承担。</w:t>
      </w:r>
      <w:r/>
    </w:p>
    <w:p>
      <w:pPr>
        <w:ind w:left="5" w:firstLine="518"/>
        <w:spacing w:line="360" w:lineRule="auto"/>
        <w:tabs>
          <w:tab w:val="left" w:pos="851"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3.4.3投标文件未按照招标文件要求加盖CA电子公章的，响应无效。</w:t>
      </w:r>
      <w:r/>
    </w:p>
    <w:p>
      <w:pPr>
        <w:ind w:left="5" w:firstLine="518"/>
        <w:spacing w:line="360" w:lineRule="auto"/>
        <w:tabs>
          <w:tab w:val="left" w:pos="851"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3.5投标文件的开启（解密）</w:t>
      </w:r>
      <w:r/>
    </w:p>
    <w:p>
      <w:pPr>
        <w:ind w:left="5" w:firstLine="518"/>
        <w:spacing w:line="360" w:lineRule="auto"/>
        <w:tabs>
          <w:tab w:val="left" w:pos="851"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3.5.1线上参加（观看）开标（开启）会方式：登录苏采云系统，点击“开标大厅”，选择对应项目。</w:t>
      </w:r>
      <w:r/>
    </w:p>
    <w:p>
      <w:pPr>
        <w:ind w:left="5" w:firstLine="518"/>
        <w:spacing w:line="360" w:lineRule="auto"/>
        <w:tabs>
          <w:tab w:val="left" w:pos="851"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3.5.2供应商应当按照《操作手册》规定，在苏采云系统规定的时间内对投标文件进行解密。等待开标流程进入“解锁环境”，点击“点击立即解密”进行标书解密，解锁完成后及时关注开标大厅、答疑澄清等提示，</w:t>
      </w:r>
      <w:r>
        <w:rPr>
          <w:rFonts w:hint="eastAsia" w:ascii="宋体" w:hAnsi="宋体" w:eastAsia="宋体" w:cs="宋体"/>
          <w:b/>
          <w:bCs/>
          <w:color w:val="auto"/>
          <w:sz w:val="24"/>
          <w:szCs w:val="24"/>
          <w:highlight w:val="none"/>
          <w:lang w:val="en-US" w:eastAsia="zh-CN"/>
        </w:rPr>
        <w:t xml:space="preserve">否则导致的对供应商不利的后果由供应商自行承担。</w:t>
      </w:r>
      <w:r/>
    </w:p>
    <w:p>
      <w:pPr>
        <w:ind w:left="5" w:firstLine="520"/>
        <w:spacing w:line="360" w:lineRule="auto"/>
        <w:tabs>
          <w:tab w:val="left" w:pos="851"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3.5.3供应商在苏采云系统规定的时间内未成功解密电子投标文件的，投标无效。</w:t>
      </w:r>
      <w:r/>
    </w:p>
    <w:p>
      <w:pPr>
        <w:ind w:left="5" w:firstLine="520"/>
        <w:spacing w:line="360" w:lineRule="auto"/>
        <w:tabs>
          <w:tab w:val="left" w:pos="851"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供应商在制作、上传、解密电子标书过程中若遇到问题，请及时联系CA技术人员或“苏采云”系统客服热线，否则由此产生的后果由供应商自行负责。</w:t>
      </w:r>
      <w:r/>
    </w:p>
    <w:p>
      <w:pPr>
        <w:ind w:left="5" w:firstLine="518"/>
        <w:spacing w:line="360" w:lineRule="auto"/>
        <w:tabs>
          <w:tab w:val="left" w:pos="851"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3.5.4</w:t>
      </w:r>
      <w:bookmarkEnd w:id="2"/>
      <w:r>
        <w:rPr>
          <w:rFonts w:hint="eastAsia" w:ascii="宋体" w:hAnsi="宋体" w:eastAsia="宋体" w:cs="宋体"/>
          <w:color w:val="auto"/>
          <w:sz w:val="24"/>
          <w:szCs w:val="24"/>
          <w:highlight w:val="none"/>
          <w:lang w:val="en-US" w:eastAsia="zh-CN"/>
        </w:rPr>
        <w:t xml:space="preserve">供应商电脑环境最低要求：谷歌浏览器，版本可直接网上下载最新版本即可。如需收听现场语音需配置放音设备，如视频直播、互动交流使用异常，请刷新网页，如仍无法解决，请联系技术支持。</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3.5.5 </w:t>
      </w:r>
      <w:r>
        <w:rPr>
          <w:rFonts w:hint="eastAsia" w:ascii="宋体" w:hAnsi="宋体" w:eastAsia="宋体" w:cs="宋体"/>
          <w:color w:val="auto"/>
          <w:sz w:val="24"/>
          <w:szCs w:val="24"/>
          <w:highlight w:val="none"/>
        </w:rPr>
        <w:t xml:space="preserve">CA技术咨询服务电话：</w:t>
      </w:r>
      <w:r>
        <w:rPr>
          <w:rFonts w:hint="eastAsia" w:ascii="宋体" w:hAnsi="宋体" w:eastAsia="宋体" w:cs="宋体"/>
          <w:color w:val="auto"/>
          <w:sz w:val="24"/>
          <w:szCs w:val="24"/>
          <w:highlight w:val="none"/>
          <w:lang w:eastAsia="zh-CN"/>
        </w:rPr>
        <w:t xml:space="preserve">400-608-6099</w:t>
      </w:r>
      <w:r>
        <w:rPr>
          <w:rFonts w:hint="eastAsia" w:ascii="宋体" w:hAnsi="宋体" w:eastAsia="宋体" w:cs="宋体"/>
          <w:color w:val="auto"/>
          <w:sz w:val="24"/>
          <w:szCs w:val="24"/>
          <w:highlight w:val="none"/>
        </w:rPr>
        <w:t xml:space="preserve">；</w:t>
      </w:r>
      <w:r/>
    </w:p>
    <w:p>
      <w:pPr>
        <w:ind w:left="5" w:firstLine="518"/>
        <w:spacing w:line="360" w:lineRule="auto"/>
        <w:tabs>
          <w:tab w:val="left" w:pos="85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电子签章技术咨询服务电话</w:t>
      </w:r>
      <w:r>
        <w:rPr>
          <w:rFonts w:hint="eastAsia" w:ascii="宋体" w:hAnsi="宋体" w:eastAsia="宋体" w:cs="宋体"/>
          <w:color w:val="auto"/>
          <w:sz w:val="24"/>
          <w:szCs w:val="24"/>
          <w:highlight w:val="none"/>
          <w:lang w:eastAsia="zh-CN"/>
        </w:rPr>
        <w:t xml:space="preserve">025-83633811、025-83633812、15380932027、15371015030</w:t>
      </w:r>
      <w:r>
        <w:rPr>
          <w:rFonts w:hint="eastAsia" w:ascii="宋体" w:hAnsi="宋体" w:eastAsia="宋体" w:cs="宋体"/>
          <w:color w:val="auto"/>
          <w:sz w:val="24"/>
          <w:szCs w:val="24"/>
          <w:highlight w:val="none"/>
        </w:rPr>
        <w:t xml:space="preserve">；</w:t>
      </w:r>
      <w:r/>
    </w:p>
    <w:p>
      <w:pPr>
        <w:ind w:left="5" w:firstLine="518"/>
        <w:spacing w:line="360" w:lineRule="auto"/>
        <w:tabs>
          <w:tab w:val="left" w:pos="85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苏州市及区县“苏采云”系统使用指导与咨询：联系电话：</w:t>
      </w:r>
      <w:r>
        <w:rPr>
          <w:rFonts w:hint="eastAsia" w:ascii="宋体" w:hAnsi="宋体" w:eastAsia="宋体" w:cs="宋体"/>
          <w:color w:val="auto"/>
          <w:sz w:val="24"/>
          <w:szCs w:val="24"/>
          <w:highlight w:val="none"/>
          <w:lang w:eastAsia="zh-CN"/>
        </w:rPr>
        <w:t xml:space="preserve">13914088964、0512-69820854</w:t>
      </w:r>
      <w:r>
        <w:rPr>
          <w:rFonts w:hint="eastAsia" w:ascii="宋体" w:hAnsi="宋体" w:eastAsia="宋体" w:cs="宋体"/>
          <w:color w:val="auto"/>
          <w:sz w:val="24"/>
          <w:szCs w:val="24"/>
          <w:highlight w:val="none"/>
        </w:rPr>
        <w:t xml:space="preserve">；智能客服：登录苏采云系统后，联系系统右下方智能客服图标进行咨询。 </w:t>
      </w:r>
      <w:r/>
    </w:p>
    <w:p>
      <w:pPr>
        <w:ind w:firstLine="482"/>
        <w:spacing w:line="360" w:lineRule="auto"/>
        <w:tabs>
          <w:tab w:val="left" w:pos="142" w:leader="none"/>
          <w:tab w:val="left" w:pos="600" w:leader="none"/>
        </w:tabs>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rPr>
        <w:t xml:space="preserve">3.</w:t>
      </w:r>
      <w:r>
        <w:rPr>
          <w:rFonts w:hint="eastAsia" w:ascii="宋体" w:hAnsi="宋体" w:eastAsia="宋体" w:cs="宋体"/>
          <w:b/>
          <w:color w:val="auto"/>
          <w:sz w:val="24"/>
          <w:szCs w:val="24"/>
          <w:highlight w:val="none"/>
          <w:lang w:val="en-US" w:eastAsia="zh-CN"/>
        </w:rPr>
        <w:t xml:space="preserve">6</w:t>
      </w:r>
      <w:r>
        <w:rPr>
          <w:rFonts w:hint="eastAsia" w:ascii="宋体" w:hAnsi="宋体" w:eastAsia="宋体" w:cs="宋体"/>
          <w:b/>
          <w:color w:val="auto"/>
          <w:sz w:val="24"/>
          <w:szCs w:val="24"/>
          <w:highlight w:val="none"/>
        </w:rPr>
        <w:t xml:space="preserve">响应文件的修改和撤回</w:t>
      </w:r>
      <w:r>
        <w:rPr>
          <w:rFonts w:hint="eastAsia" w:ascii="宋体" w:hAnsi="宋体" w:eastAsia="宋体" w:cs="宋体"/>
          <w:b/>
          <w:color w:val="auto"/>
          <w:sz w:val="24"/>
          <w:szCs w:val="24"/>
          <w:highlight w:val="none"/>
          <w:lang w:eastAsia="zh-CN"/>
        </w:rPr>
        <w:t xml:space="preserve">：</w:t>
      </w:r>
      <w:r/>
    </w:p>
    <w:p>
      <w:pPr>
        <w:pStyle w:val="1008"/>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.1供应商在提交投标文件截止时间前，可以对所递交的投标文件进行补充、修改或者撤回，具体操作方法见《操作手册》。提交投标文件截止时间后供应商不得撤回投标文件。</w:t>
      </w:r>
      <w:r/>
    </w:p>
    <w:p>
      <w:pPr>
        <w:ind w:firstLine="482"/>
        <w:spacing w:line="360" w:lineRule="auto"/>
        <w:tabs>
          <w:tab w:val="left" w:pos="142" w:leader="none"/>
          <w:tab w:val="left" w:pos="600" w:leader="none"/>
        </w:tabs>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rPr>
        <w:t xml:space="preserve">4、开标和评标</w:t>
      </w:r>
      <w:r>
        <w:rPr>
          <w:rFonts w:hint="eastAsia" w:ascii="宋体" w:hAnsi="宋体" w:eastAsia="宋体" w:cs="宋体"/>
          <w:b/>
          <w:color w:val="auto"/>
          <w:sz w:val="24"/>
          <w:szCs w:val="24"/>
          <w:highlight w:val="none"/>
          <w:lang w:eastAsia="zh-CN"/>
        </w:rPr>
        <w:t xml:space="preserve">：</w:t>
      </w:r>
      <w:r/>
    </w:p>
    <w:p>
      <w:pPr>
        <w:ind w:firstLine="482"/>
        <w:spacing w:line="360" w:lineRule="auto"/>
        <w:tabs>
          <w:tab w:val="left" w:pos="142" w:leader="none"/>
          <w:tab w:val="left" w:pos="60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4.1开标</w:t>
      </w:r>
      <w:r/>
    </w:p>
    <w:p>
      <w:pPr>
        <w:pStyle w:val="997"/>
        <w:ind w:left="0"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4"/>
          <w:szCs w:val="24"/>
          <w:highlight w:val="none"/>
        </w:rPr>
        <w:t xml:space="preserve">4.1.</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开标由采购代理机构</w:t>
      </w:r>
      <w:r>
        <w:rPr>
          <w:rFonts w:hint="eastAsia" w:ascii="宋体" w:hAnsi="宋体" w:eastAsia="宋体" w:cs="宋体"/>
          <w:color w:val="auto"/>
          <w:sz w:val="24"/>
          <w:szCs w:val="24"/>
          <w:highlight w:val="none"/>
          <w:lang w:val="en-US"/>
        </w:rPr>
        <w:t xml:space="preserve">在线</w:t>
      </w:r>
      <w:r>
        <w:rPr>
          <w:rFonts w:hint="eastAsia" w:ascii="宋体" w:hAnsi="宋体" w:eastAsia="宋体" w:cs="宋体"/>
          <w:color w:val="auto"/>
          <w:sz w:val="24"/>
          <w:szCs w:val="24"/>
          <w:highlight w:val="none"/>
        </w:rPr>
        <w:t xml:space="preserve">主持，邀请投标人</w:t>
      </w:r>
      <w:r>
        <w:rPr>
          <w:rFonts w:hint="eastAsia" w:ascii="宋体" w:hAnsi="宋体" w:eastAsia="宋体" w:cs="宋体"/>
          <w:color w:val="auto"/>
          <w:sz w:val="24"/>
          <w:szCs w:val="24"/>
          <w:highlight w:val="none"/>
          <w:lang w:val="en-US"/>
        </w:rPr>
        <w:t xml:space="preserve">在线</w:t>
      </w:r>
      <w:r>
        <w:rPr>
          <w:rFonts w:hint="eastAsia" w:ascii="宋体" w:hAnsi="宋体" w:eastAsia="宋体" w:cs="宋体"/>
          <w:color w:val="auto"/>
          <w:sz w:val="24"/>
          <w:szCs w:val="24"/>
          <w:highlight w:val="none"/>
        </w:rPr>
        <w:t xml:space="preserve">参加。投标人应当按照《苏采云系统供应商操作手册》规定，</w:t>
      </w:r>
      <w:r>
        <w:rPr>
          <w:rFonts w:hint="eastAsia" w:ascii="宋体" w:hAnsi="宋体" w:eastAsia="宋体" w:cs="宋体"/>
          <w:b/>
          <w:color w:val="auto"/>
          <w:sz w:val="24"/>
          <w:szCs w:val="24"/>
          <w:highlight w:val="none"/>
        </w:rPr>
        <w:t xml:space="preserve">参加开标活动和在“苏采云”系统规定的时间内对投标文件进行解密</w:t>
      </w:r>
      <w:r>
        <w:rPr>
          <w:rFonts w:hint="eastAsia" w:ascii="宋体" w:hAnsi="宋体" w:eastAsia="宋体" w:cs="宋体"/>
          <w:color w:val="auto"/>
          <w:sz w:val="24"/>
          <w:szCs w:val="24"/>
          <w:highlight w:val="none"/>
        </w:rPr>
        <w:t xml:space="preserve">。评标委员会成员不得参加开标活动。</w:t>
      </w:r>
      <w:r/>
    </w:p>
    <w:p>
      <w:pPr>
        <w:ind w:firstLine="480"/>
        <w:spacing w:line="360" w:lineRule="auto"/>
        <w:shd w:val="clear" w:color="auto"/>
        <w:tabs>
          <w:tab w:val="left" w:pos="142" w:leader="none"/>
          <w:tab w:val="left" w:pos="600" w:leader="none"/>
        </w:tabs>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4.1.</w:t>
      </w:r>
      <w:r>
        <w:rPr>
          <w:rFonts w:hint="eastAsia" w:ascii="宋体" w:hAnsi="宋体" w:eastAsia="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zh-CN" w:eastAsia="zh-CN" w:bidi="ar-SA"/>
        </w:rPr>
        <w:t xml:space="preserve">开标时，由采购代理机构</w:t>
      </w:r>
      <w:r>
        <w:rPr>
          <w:rFonts w:hint="eastAsia" w:ascii="宋体" w:hAnsi="宋体" w:eastAsia="宋体" w:cs="宋体"/>
          <w:color w:val="auto"/>
          <w:sz w:val="24"/>
          <w:szCs w:val="24"/>
          <w:highlight w:val="none"/>
          <w:lang w:val="en-US" w:eastAsia="zh-CN" w:bidi="ar-SA"/>
        </w:rPr>
        <w:t xml:space="preserve">通过“苏采云”系统在线</w:t>
      </w:r>
      <w:r>
        <w:rPr>
          <w:rFonts w:hint="eastAsia" w:ascii="宋体" w:hAnsi="宋体" w:eastAsia="宋体" w:cs="宋体"/>
          <w:color w:val="auto"/>
          <w:sz w:val="24"/>
          <w:szCs w:val="24"/>
          <w:highlight w:val="none"/>
          <w:lang w:val="zh-CN" w:eastAsia="zh-CN" w:bidi="ar-SA"/>
        </w:rPr>
        <w:t xml:space="preserve">宣布投标人名称、投标价格和招标文件规定的需要宣布的其他内容。</w:t>
      </w:r>
      <w:r>
        <w:rPr>
          <w:rFonts w:hint="eastAsia" w:ascii="宋体" w:hAnsi="宋体" w:eastAsia="宋体" w:cs="宋体"/>
          <w:color w:val="auto"/>
          <w:sz w:val="24"/>
          <w:szCs w:val="24"/>
          <w:highlight w:val="none"/>
          <w:lang w:val="en-US" w:eastAsia="zh-CN" w:bidi="ar-SA"/>
        </w:rPr>
        <w:t xml:space="preserve">投标人在不见面开标系统中确认投标价格，如</w:t>
      </w:r>
      <w:r>
        <w:rPr>
          <w:rFonts w:hint="eastAsia" w:ascii="宋体" w:hAnsi="宋体" w:eastAsia="宋体" w:cs="宋体"/>
          <w:color w:val="auto"/>
          <w:sz w:val="24"/>
          <w:szCs w:val="24"/>
          <w:highlight w:val="none"/>
          <w:lang w:val="zh-CN" w:eastAsia="zh-CN" w:bidi="ar-SA"/>
        </w:rPr>
        <w:t xml:space="preserve">投标人未</w:t>
      </w:r>
      <w:r>
        <w:rPr>
          <w:rFonts w:hint="eastAsia" w:ascii="宋体" w:hAnsi="宋体" w:eastAsia="宋体" w:cs="宋体"/>
          <w:color w:val="auto"/>
          <w:sz w:val="24"/>
          <w:szCs w:val="24"/>
          <w:highlight w:val="none"/>
          <w:lang w:val="en-US" w:eastAsia="zh-CN" w:bidi="ar-SA"/>
        </w:rPr>
        <w:t xml:space="preserve">在线</w:t>
      </w:r>
      <w:r>
        <w:rPr>
          <w:rFonts w:hint="eastAsia" w:ascii="宋体" w:hAnsi="宋体" w:eastAsia="宋体" w:cs="宋体"/>
          <w:color w:val="auto"/>
          <w:sz w:val="24"/>
          <w:szCs w:val="24"/>
          <w:highlight w:val="none"/>
          <w:lang w:val="zh-CN" w:eastAsia="zh-CN" w:bidi="ar-SA"/>
        </w:rPr>
        <w:t xml:space="preserve">参加开标</w:t>
      </w:r>
      <w:r>
        <w:rPr>
          <w:rFonts w:hint="eastAsia" w:ascii="宋体" w:hAnsi="宋体" w:eastAsia="宋体" w:cs="宋体"/>
          <w:color w:val="auto"/>
          <w:sz w:val="24"/>
          <w:szCs w:val="24"/>
          <w:highlight w:val="none"/>
          <w:lang w:val="en-US" w:eastAsia="zh-CN" w:bidi="ar-SA"/>
        </w:rPr>
        <w:t xml:space="preserve">或未在规定时间内确认价格</w:t>
      </w:r>
      <w:r>
        <w:rPr>
          <w:rFonts w:hint="eastAsia" w:ascii="宋体" w:hAnsi="宋体" w:eastAsia="宋体" w:cs="宋体"/>
          <w:color w:val="auto"/>
          <w:sz w:val="24"/>
          <w:szCs w:val="24"/>
          <w:highlight w:val="none"/>
          <w:lang w:val="zh-CN" w:eastAsia="zh-CN" w:bidi="ar-SA"/>
        </w:rPr>
        <w:t xml:space="preserve">的，视同认可开标结果。</w:t>
      </w:r>
      <w:r/>
    </w:p>
    <w:p>
      <w:pPr>
        <w:ind w:firstLine="482"/>
        <w:spacing w:line="360" w:lineRule="auto"/>
        <w:tabs>
          <w:tab w:val="left" w:pos="142" w:leader="none"/>
          <w:tab w:val="left" w:pos="60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4.2</w:t>
      </w:r>
      <w:r>
        <w:rPr>
          <w:rFonts w:hint="eastAsia" w:ascii="宋体" w:hAnsi="宋体" w:eastAsia="宋体" w:cs="宋体"/>
          <w:b/>
          <w:color w:val="auto"/>
          <w:sz w:val="24"/>
          <w:szCs w:val="24"/>
          <w:highlight w:val="none"/>
        </w:rPr>
        <w:t xml:space="preserve">资格审查</w:t>
      </w:r>
      <w:r/>
    </w:p>
    <w:p>
      <w:pPr>
        <w:numPr>
          <w:ilvl w:val="0"/>
          <w:numId w:val="0"/>
        </w:numPr>
        <w:ind w:firstLine="480"/>
        <w:spacing w:line="360" w:lineRule="auto"/>
        <w:shd w:val="clear" w:color="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4.2.1</w:t>
      </w:r>
      <w:r>
        <w:rPr>
          <w:rFonts w:hint="eastAsia" w:ascii="宋体" w:hAnsi="宋体" w:eastAsia="宋体" w:cs="宋体"/>
          <w:color w:val="auto"/>
          <w:sz w:val="24"/>
          <w:szCs w:val="24"/>
          <w:highlight w:val="none"/>
        </w:rPr>
        <w:t xml:space="preserve">公开招标采购项目开标结束后，采购人应当依法对投标人的资格进行审查，未通过资格审查的视为无效投标。</w:t>
      </w:r>
      <w:r/>
    </w:p>
    <w:p>
      <w:pPr>
        <w:numPr>
          <w:ilvl w:val="0"/>
          <w:numId w:val="0"/>
        </w:numPr>
        <w:ind w:firstLine="480"/>
        <w:spacing w:line="360" w:lineRule="auto"/>
        <w:shd w:val="clear" w:color="auto"/>
        <w:tabs>
          <w:tab w:val="left" w:pos="142" w:leader="none"/>
          <w:tab w:val="left" w:pos="60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4.2.2根据政府采购法及相关法规，以及苏州市财政局《关于印发苏州市市级政府采购信用记录查询和使用工作试行办法的通知》（苏财购（2017）11号）文件的规定，采购代理机构将对供应商进行信用查询。</w:t>
      </w:r>
      <w:r/>
    </w:p>
    <w:p>
      <w:pPr>
        <w:numPr>
          <w:ilvl w:val="0"/>
          <w:numId w:val="0"/>
        </w:numPr>
        <w:ind w:firstLine="480"/>
        <w:spacing w:line="360" w:lineRule="auto"/>
        <w:shd w:val="clear" w:color="auto"/>
        <w:tabs>
          <w:tab w:val="left" w:pos="142" w:leader="none"/>
          <w:tab w:val="left" w:pos="60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4.2.2.1查询时间：投标文件提交截止时间。</w:t>
      </w:r>
      <w:r/>
    </w:p>
    <w:p>
      <w:pPr>
        <w:numPr>
          <w:ilvl w:val="0"/>
          <w:numId w:val="0"/>
        </w:numPr>
        <w:ind w:firstLine="480"/>
        <w:spacing w:line="360" w:lineRule="auto"/>
        <w:shd w:val="clear" w:color="auto"/>
        <w:tabs>
          <w:tab w:val="left" w:pos="142" w:leader="none"/>
          <w:tab w:val="left" w:pos="60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4.2.2.2查询渠道：通过“信用中国”及“中国政府采购网” 上的信用信息查询供应商的信用记录。 </w:t>
      </w:r>
      <w:r/>
    </w:p>
    <w:p>
      <w:pPr>
        <w:numPr>
          <w:ilvl w:val="0"/>
          <w:numId w:val="0"/>
        </w:numPr>
        <w:ind w:firstLine="480"/>
        <w:spacing w:line="360" w:lineRule="auto"/>
        <w:shd w:val="clear" w:color="auto"/>
        <w:tabs>
          <w:tab w:val="left" w:pos="142" w:leader="none"/>
          <w:tab w:val="left" w:pos="60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4.2.2.3查询证据留存方式：采购人、采购代理机构工作人员等应按照相关管理办法查询相关主体的信用记录，并保存好相关证据材料，信用查询记录及相关证据应当归入采购档案妥善保管。采购代理机构工作人员应登录到来源网站页面进行复核并打印，作为证据留存。</w:t>
      </w:r>
      <w:r/>
    </w:p>
    <w:p>
      <w:pPr>
        <w:numPr>
          <w:ilvl w:val="0"/>
          <w:numId w:val="0"/>
        </w:numPr>
        <w:ind w:firstLine="480"/>
        <w:spacing w:line="360" w:lineRule="auto"/>
        <w:shd w:val="clear" w:color="auto"/>
        <w:tabs>
          <w:tab w:val="left" w:pos="142" w:leader="none"/>
          <w:tab w:val="left" w:pos="60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4.2.2.4信用记录使用规则：评审小组在对供应商进行资格性审查时，应根据查询结果对供应商的不良信用记录逐项甄别确认。按照《中华人民共和国政府采购法》第二十二条规定，</w:t>
      </w:r>
      <w:r>
        <w:rPr>
          <w:rFonts w:hint="eastAsia" w:ascii="宋体" w:hAnsi="宋体" w:eastAsia="宋体" w:cs="宋体"/>
          <w:b/>
          <w:bCs/>
          <w:color w:val="auto"/>
          <w:sz w:val="24"/>
          <w:szCs w:val="24"/>
          <w:highlight w:val="none"/>
          <w:lang w:val="en-US" w:eastAsia="zh-CN"/>
        </w:rPr>
        <w:t xml:space="preserve">信用记录属于应依法拒绝供应商参加政府采购的失信信息，存在此类失信信息的投标人的投标无效。</w:t>
      </w:r>
      <w:r/>
    </w:p>
    <w:p>
      <w:pPr>
        <w:ind w:firstLine="482"/>
        <w:spacing w:line="360" w:lineRule="auto"/>
        <w:tabs>
          <w:tab w:val="left" w:pos="142" w:leader="none"/>
          <w:tab w:val="left" w:pos="600" w:leader="none"/>
        </w:tabs>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4.3评标委员会</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4.3.1采购人或采购代理机构负责组织评标工作，评标委员会由采购人代表和评审专家组成，负责具体评标事务，并独立履行职责。</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4.3.2评审专家与参加采购活动的供应商存在下列利害关系之一的，应当回避：</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一</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参加采购活动前三年内，与供应商存在劳动关系，或者担任过供应商的董事、监事，或者是供应商的控股股东或实际控制人；</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与供应商的法定代表人或者负责人有夫妻、直系血亲、三代以内旁系血亲或者近姻亲关系；</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三</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与供应商有其他可能影响政府采购活动公平、公正进行的关系。</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评审专家发现本人与参加采购活动的供应商有利害关系的，应当主动提出回避。采购人或者采购代理机构发现评审专家与参加采购活动的供应商有利害关系的，应当要求其回避。</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4.3.3评审专家应当遵守评审工作纪律，不得泄露评审文件、评审情况和评审中获悉的商业秘密。评标委员会在评审过程中发现供应商有行贿、提供虚假材料或者串通等违法行为的，应当及时向财政部门报告。政府采购评审专家在评审过程中受到非法干预的，应当及时向财政、监察等部门举报。</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4.3.4评标委员会成员应当按照客观、公正、审慎的原则，根据</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规定的评审程序、评审方法和评审标准进行独立评审。</w:t>
      </w:r>
      <w:r/>
    </w:p>
    <w:p>
      <w:pPr>
        <w:ind w:firstLine="482"/>
        <w:spacing w:line="360" w:lineRule="auto"/>
        <w:tabs>
          <w:tab w:val="left" w:pos="142" w:leader="none"/>
          <w:tab w:val="left" w:pos="600" w:leader="none"/>
        </w:tabs>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4.4评标</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4.4.1符合性审查</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评标委员会应当对符合资格的投标人的投标文件进行符合性审查，以确定其是否满足招标文件的实质性要求。未满足本项目实质性要求的认定为无效投标。</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4.4.2投标文件的比较和评价</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4.4.2.1评标委员会应当按照招标文件中规定的评标方法和标准，对符合性审查合格的投标文件进行商务和技术评估，综合比较与评价。</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4.4.2.2本项目采用综合评分法，即指投标文件满足招标文件全部实质性要求，且按照评审因素的量化指标评审得分最高的投标人为中标候选人的评标方法。评标</w:t>
      </w:r>
      <w:r>
        <w:rPr>
          <w:rFonts w:hint="eastAsia" w:ascii="宋体" w:hAnsi="宋体" w:eastAsia="宋体" w:cs="宋体"/>
          <w:color w:val="auto"/>
          <w:sz w:val="24"/>
          <w:szCs w:val="24"/>
          <w:highlight w:val="none"/>
          <w:lang w:val="en-US" w:eastAsia="zh-CN"/>
        </w:rPr>
        <w:t xml:space="preserve">方法</w:t>
      </w:r>
      <w:r>
        <w:rPr>
          <w:rFonts w:hint="eastAsia" w:ascii="宋体" w:hAnsi="宋体" w:eastAsia="宋体" w:cs="宋体"/>
          <w:color w:val="auto"/>
          <w:sz w:val="24"/>
          <w:szCs w:val="24"/>
          <w:highlight w:val="none"/>
        </w:rPr>
        <w:t xml:space="preserve">和</w:t>
      </w:r>
      <w:r>
        <w:rPr>
          <w:rFonts w:hint="eastAsia" w:ascii="宋体" w:hAnsi="宋体" w:eastAsia="宋体" w:cs="宋体"/>
          <w:color w:val="auto"/>
          <w:sz w:val="24"/>
          <w:szCs w:val="24"/>
          <w:highlight w:val="none"/>
          <w:lang w:val="en-US" w:eastAsia="zh-CN"/>
        </w:rPr>
        <w:t xml:space="preserve">评分</w:t>
      </w:r>
      <w:r>
        <w:rPr>
          <w:rFonts w:hint="eastAsia" w:ascii="宋体" w:hAnsi="宋体" w:eastAsia="宋体" w:cs="宋体"/>
          <w:color w:val="auto"/>
          <w:sz w:val="24"/>
          <w:szCs w:val="24"/>
          <w:highlight w:val="none"/>
        </w:rPr>
        <w:t xml:space="preserve">标准见第六章。</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4.4.2.3价格修正</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投标文件报价出现前后不一致的，除招标文件另有规定外，按下列规定修正：</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（一）投标文件中开标一览表（报价表）内容与投标文件中相应内容不一致的，以开标一览表（报价表）为准；</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（二）大写金额和小写金额不一致的，以大写金额为准；</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（三）单价金额小数点或者百分比有明显错位的，以开标一览表的总价为准，并修改单价；</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（四）总价金额与按单价汇总金额不一致的，以单价金额计算结果为准。</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同时出现两种以上不一致的，按照前款规定的顺序修正。</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修正后的报价按照《中华人民共和国财政部令第87号》第五十一条第二款的规定经投标人确认后产生约束力，投标人不确认的，其投标无效。</w:t>
      </w:r>
      <w:r/>
    </w:p>
    <w:p>
      <w:pPr>
        <w:ind w:left="5" w:firstLine="518"/>
        <w:spacing w:line="360" w:lineRule="auto"/>
        <w:tabs>
          <w:tab w:val="left" w:pos="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4.4.2.4</w:t>
      </w:r>
      <w:r>
        <w:rPr>
          <w:rFonts w:ascii="宋体" w:hAnsi="宋体" w:eastAsia="宋体" w:cs="宋体"/>
          <w:color w:val="auto"/>
          <w:sz w:val="24"/>
          <w:szCs w:val="24"/>
          <w:highlight w:val="none"/>
        </w:rPr>
        <w:t xml:space="preserve">评审过程中出现下列情形之一的，评审委员会应当启动异常低价投标（响应）审查程序：</w:t>
      </w:r>
      <w:r/>
    </w:p>
    <w:p>
      <w:pPr>
        <w:ind w:left="5" w:firstLine="518"/>
        <w:spacing w:line="360" w:lineRule="auto"/>
        <w:tabs>
          <w:tab w:val="left" w:pos="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①投标(响应)报价低于全部通过符合性审查供应商投标(响应)报价平均值50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的，即投标(响应)报价＜全部通过符合性审查供应商投标(响应)报价平均值×50</w:t>
      </w:r>
      <w:r>
        <w:rPr>
          <w:rFonts w:hint="eastAsia" w:ascii="宋体" w:hAnsi="宋体" w:eastAsia="宋体" w:cs="宋体"/>
          <w:color w:val="auto"/>
          <w:sz w:val="24"/>
          <w:szCs w:val="24"/>
          <w:highlight w:val="none"/>
          <w:lang w:eastAsia="zh-CN"/>
        </w:rPr>
        <w:t xml:space="preserve">％</w:t>
      </w:r>
      <w:r>
        <w:rPr>
          <w:rFonts w:ascii="宋体" w:hAnsi="宋体" w:eastAsia="宋体" w:cs="宋体"/>
          <w:color w:val="auto"/>
          <w:sz w:val="24"/>
          <w:szCs w:val="24"/>
          <w:highlight w:val="none"/>
        </w:rPr>
        <w:t xml:space="preserve">；</w:t>
      </w:r>
      <w:r/>
    </w:p>
    <w:p>
      <w:pPr>
        <w:ind w:left="5" w:firstLine="518"/>
        <w:spacing w:line="360" w:lineRule="auto"/>
        <w:tabs>
          <w:tab w:val="left" w:pos="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②投标(响应)报价低于通过符合性审查的次低报价供应商投标(响应)报价50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的，即投标(响应)报价＜通过符合性审查的次低报价供应商投标(响应)报价×50</w:t>
      </w:r>
      <w:r>
        <w:rPr>
          <w:rFonts w:hint="eastAsia" w:ascii="宋体" w:hAnsi="宋体" w:eastAsia="宋体" w:cs="宋体"/>
          <w:color w:val="auto"/>
          <w:sz w:val="24"/>
          <w:szCs w:val="24"/>
          <w:highlight w:val="none"/>
          <w:lang w:eastAsia="zh-CN"/>
        </w:rPr>
        <w:t xml:space="preserve">％</w:t>
      </w:r>
      <w:r>
        <w:rPr>
          <w:rFonts w:ascii="宋体" w:hAnsi="宋体" w:eastAsia="宋体" w:cs="宋体"/>
          <w:color w:val="auto"/>
          <w:sz w:val="24"/>
          <w:szCs w:val="24"/>
          <w:highlight w:val="none"/>
        </w:rPr>
        <w:t xml:space="preserve">； </w:t>
      </w:r>
      <w:r/>
    </w:p>
    <w:p>
      <w:pPr>
        <w:ind w:left="5" w:firstLine="518"/>
        <w:spacing w:line="360" w:lineRule="auto"/>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③</w:t>
      </w:r>
      <w:r>
        <w:rPr>
          <w:rFonts w:hint="eastAsia" w:ascii="宋体" w:hAnsi="宋体" w:eastAsia="宋体" w:cs="宋体"/>
          <w:color w:val="auto"/>
          <w:sz w:val="24"/>
          <w:szCs w:val="24"/>
          <w:highlight w:val="none"/>
          <w:lang w:val="en-US" w:eastAsia="zh-CN"/>
        </w:rPr>
        <w:t xml:space="preserve">投标(响应)报价低于采购项目最高限价45％的，即投标(响应)报价＜采购项目最高限价×45％</w:t>
      </w:r>
      <w:r>
        <w:rPr>
          <w:rFonts w:hint="eastAsia" w:ascii="宋体" w:hAnsi="宋体" w:eastAsia="宋体" w:cs="宋体"/>
          <w:color w:val="auto"/>
          <w:sz w:val="24"/>
          <w:szCs w:val="24"/>
          <w:highlight w:val="none"/>
          <w:lang w:eastAsia="zh-CN"/>
        </w:rPr>
        <w:t xml:space="preserve">；</w:t>
      </w:r>
      <w:r/>
    </w:p>
    <w:p>
      <w:pPr>
        <w:ind w:left="5" w:firstLine="518"/>
        <w:spacing w:line="360" w:lineRule="auto"/>
        <w:tabs>
          <w:tab w:val="left" w:pos="0" w:leader="none"/>
        </w:tabs>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④评审委员会基于专业判断，认为供应商报价过低，有可能影响产品质量或者不能诚信履约的其他情形</w:t>
      </w:r>
      <w:r>
        <w:rPr>
          <w:rFonts w:hint="eastAsia" w:ascii="宋体" w:hAnsi="宋体" w:eastAsia="宋体" w:cs="宋体"/>
          <w:color w:val="auto"/>
          <w:sz w:val="24"/>
          <w:szCs w:val="24"/>
          <w:highlight w:val="none"/>
          <w:lang w:val="en-US" w:eastAsia="zh-CN"/>
        </w:rPr>
        <w:t xml:space="preserve">。</w:t>
      </w:r>
      <w:r/>
    </w:p>
    <w:p>
      <w:pPr>
        <w:ind w:firstLine="480"/>
        <w:spacing w:line="360" w:lineRule="auto"/>
        <w:tabs>
          <w:tab w:val="left" w:pos="142" w:leader="none"/>
          <w:tab w:val="left" w:pos="600" w:leader="none"/>
        </w:tabs>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4.4.2.5启动异常低价投标审查后，</w:t>
      </w:r>
      <w:bookmarkStart w:id="3" w:name="OLE_LINK2"/>
      <w:r/>
      <w:bookmarkStart w:id="4" w:name="OLE_LINK1"/>
      <w:r>
        <w:rPr>
          <w:rFonts w:hint="eastAsia" w:ascii="宋体" w:hAnsi="宋体" w:eastAsia="宋体" w:cs="宋体"/>
          <w:b w:val="0"/>
          <w:bCs w:val="0"/>
          <w:color w:val="auto"/>
          <w:sz w:val="24"/>
          <w:szCs w:val="24"/>
          <w:highlight w:val="none"/>
          <w:lang w:val="en-US" w:eastAsia="zh-CN"/>
        </w:rPr>
        <w:t xml:space="preserve">评标委员会</w:t>
      </w:r>
      <w:bookmarkEnd w:id="3"/>
      <w:r/>
      <w:bookmarkEnd w:id="4"/>
      <w:r>
        <w:rPr>
          <w:rFonts w:hint="eastAsia" w:ascii="宋体" w:hAnsi="宋体" w:eastAsia="宋体" w:cs="宋体"/>
          <w:b w:val="0"/>
          <w:bCs w:val="0"/>
          <w:color w:val="auto"/>
          <w:sz w:val="24"/>
          <w:szCs w:val="24"/>
          <w:highlight w:val="none"/>
          <w:lang w:val="en-US" w:eastAsia="zh-CN"/>
        </w:rPr>
        <w:t xml:space="preserve">应当要求相关供应商在评标现场合理的时间内对投标价格作出解释，提供项目具体成本测算等与报价合理性相关的书面说明及相关证明材料</w:t>
      </w:r>
      <w:bookmarkStart w:id="5" w:name="OLE_LINK10"/>
      <w:r/>
      <w:bookmarkStart w:id="6" w:name="OLE_LINK9"/>
      <w:r>
        <w:rPr>
          <w:rFonts w:hint="eastAsia" w:ascii="宋体" w:hAnsi="宋体" w:eastAsia="宋体" w:cs="宋体"/>
          <w:b w:val="0"/>
          <w:bCs w:val="0"/>
          <w:color w:val="auto"/>
          <w:sz w:val="24"/>
          <w:szCs w:val="24"/>
          <w:highlight w:val="none"/>
          <w:lang w:val="en-US" w:eastAsia="zh-CN"/>
        </w:rPr>
        <w:t xml:space="preserve">，</w:t>
      </w:r>
      <w:bookmarkEnd w:id="5"/>
      <w:r/>
      <w:bookmarkEnd w:id="6"/>
      <w:r>
        <w:rPr>
          <w:rFonts w:hint="eastAsia" w:ascii="宋体" w:hAnsi="宋体" w:eastAsia="宋体" w:cs="宋体"/>
          <w:b w:val="0"/>
          <w:bCs w:val="0"/>
          <w:color w:val="auto"/>
          <w:sz w:val="24"/>
          <w:szCs w:val="24"/>
          <w:highlight w:val="none"/>
          <w:lang w:val="en-US" w:eastAsia="zh-CN"/>
        </w:rPr>
        <w:t xml:space="preserve">包括但不限于原材料成本、人工成本、制造费用等，给予相关供应商的合理时间一般不少于30分钟。其中，属于4.4.2.4第③项情形，供应商已随投标文件一并提交相关书面说明及必要的证明材料的，在评审现场可不再重复提交。</w:t>
      </w:r>
      <w:r/>
    </w:p>
    <w:p>
      <w:pPr>
        <w:ind w:firstLine="480"/>
        <w:spacing w:line="360" w:lineRule="auto"/>
        <w:tabs>
          <w:tab w:val="left" w:pos="142" w:leader="none"/>
          <w:tab w:val="left" w:pos="600" w:leader="none"/>
        </w:tabs>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4.4.2.6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480"/>
        <w:spacing w:line="360" w:lineRule="auto"/>
        <w:tabs>
          <w:tab w:val="left" w:pos="142" w:leader="none"/>
          <w:tab w:val="left" w:pos="600" w:leader="none"/>
        </w:tabs>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4.4.2.7异常低价投标（响应）审查的启动原因、审查意见和审查结果应当在评审报告中记录，并随供应商提供的相关书面说明及证明材料等一并归档。</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4.4.3投标的澄清</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4.4.3.1评审小组可以要求供应商对于投标文件中含义不明确、同类问题表述不一致或者有明显文字和计算错误的内容等作出必要的澄清、说明或者更正。供应商的澄清、说明或者补正不得超出投标文件的范围或者改变投标文件的实质性内容。</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w:t>
      </w:r>
      <w:r>
        <w:rPr>
          <w:rFonts w:hint="eastAsia" w:ascii="宋体" w:hAnsi="宋体" w:eastAsia="宋体" w:cs="宋体"/>
          <w:color w:val="auto"/>
          <w:sz w:val="24"/>
          <w:szCs w:val="24"/>
          <w:highlight w:val="none"/>
          <w:lang w:val="en-US" w:eastAsia="zh-CN"/>
        </w:rPr>
        <w:t xml:space="preserve">3.2</w:t>
      </w:r>
      <w:r>
        <w:rPr>
          <w:rFonts w:hint="eastAsia" w:ascii="宋体" w:hAnsi="宋体" w:eastAsia="宋体" w:cs="宋体"/>
          <w:color w:val="auto"/>
          <w:sz w:val="24"/>
          <w:szCs w:val="24"/>
          <w:highlight w:val="none"/>
        </w:rPr>
        <w:t xml:space="preserve">本项目采用线上澄清。</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w:t>
      </w:r>
      <w:r>
        <w:rPr>
          <w:rFonts w:hint="eastAsia" w:ascii="宋体" w:hAnsi="宋体" w:eastAsia="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rPr>
        <w:t xml:space="preserve">线上澄清答复的方式：需要供应商进行澄清、说明和更正的，</w:t>
      </w:r>
      <w:r>
        <w:rPr>
          <w:rFonts w:hint="eastAsia" w:ascii="宋体" w:hAnsi="宋体" w:eastAsia="宋体" w:cs="宋体"/>
          <w:color w:val="auto"/>
          <w:sz w:val="24"/>
          <w:szCs w:val="24"/>
          <w:highlight w:val="none"/>
          <w:lang w:eastAsia="zh-CN"/>
        </w:rPr>
        <w:t xml:space="preserve">评审</w:t>
      </w:r>
      <w:r>
        <w:rPr>
          <w:rFonts w:hint="eastAsia" w:ascii="宋体" w:hAnsi="宋体" w:eastAsia="宋体" w:cs="宋体"/>
          <w:color w:val="auto"/>
          <w:sz w:val="24"/>
          <w:szCs w:val="24"/>
          <w:highlight w:val="none"/>
        </w:rPr>
        <w:t xml:space="preserve">小组将通过苏采云系统向供应商发布“澄清要求函”，接到“澄清要求函”的供应商应当按照要求在苏采云系统中提交“澄清响应函”并加盖CA电子公章。澄清、说明和更正的内容作为响应文件的补充部分，具体操作方式见《操作手册》。未加盖CA电子公章的澄清无效。</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4.4.3</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接到</w:t>
      </w:r>
      <w:r>
        <w:rPr>
          <w:rFonts w:hint="eastAsia" w:ascii="宋体" w:hAnsi="宋体" w:eastAsia="宋体" w:cs="宋体"/>
          <w:color w:val="auto"/>
          <w:sz w:val="24"/>
          <w:szCs w:val="24"/>
          <w:highlight w:val="none"/>
          <w:lang w:eastAsia="zh-CN"/>
        </w:rPr>
        <w:t xml:space="preserve">评审</w:t>
      </w:r>
      <w:r>
        <w:rPr>
          <w:rFonts w:hint="eastAsia" w:ascii="宋体" w:hAnsi="宋体" w:eastAsia="宋体" w:cs="宋体"/>
          <w:color w:val="auto"/>
          <w:sz w:val="24"/>
          <w:szCs w:val="24"/>
          <w:highlight w:val="none"/>
        </w:rPr>
        <w:t xml:space="preserve">小组澄清、说明和更正要求的供应商如未按规定做出澄清、说明和更正，其风险由供应商自行承担。</w:t>
      </w:r>
      <w:r/>
    </w:p>
    <w:p>
      <w:pPr>
        <w:ind w:firstLine="482"/>
        <w:spacing w:line="360" w:lineRule="auto"/>
        <w:tabs>
          <w:tab w:val="left" w:pos="142" w:leader="none"/>
          <w:tab w:val="left" w:pos="60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5、废标</w:t>
      </w:r>
      <w:r/>
    </w:p>
    <w:p>
      <w:pPr>
        <w:ind w:firstLine="482"/>
        <w:spacing w:line="360" w:lineRule="auto"/>
        <w:tabs>
          <w:tab w:val="left" w:pos="142" w:leader="none"/>
          <w:tab w:val="left" w:pos="60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5.1出现下列情形之一的，应予废标：</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（一）符合专业条件的供应商或者对招标文件作实质响应的供应商不足三家的；</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（二）出现影响采购公正的违法、违规行为的；</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（三）投标人的报价均超过了采购预算，采购人不能支付的；</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（四）因重大变故，采购任务取消的。</w:t>
      </w:r>
      <w:r/>
    </w:p>
    <w:p>
      <w:pPr>
        <w:ind w:firstLine="482"/>
        <w:spacing w:line="360" w:lineRule="auto"/>
        <w:tabs>
          <w:tab w:val="left" w:pos="142" w:leader="none"/>
          <w:tab w:val="left" w:pos="60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5.2废标后，采购人应当将废标理由通知所有投标人。</w:t>
      </w:r>
      <w:r/>
    </w:p>
    <w:p>
      <w:pPr>
        <w:ind w:firstLine="482"/>
        <w:spacing w:line="360" w:lineRule="auto"/>
        <w:tabs>
          <w:tab w:val="left" w:pos="142" w:leader="none"/>
          <w:tab w:val="left" w:pos="60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中标</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w:t>
      </w:r>
      <w:r>
        <w:rPr>
          <w:rFonts w:hint="eastAsia" w:ascii="宋体" w:hAnsi="宋体" w:eastAsia="宋体" w:cs="宋体"/>
          <w:color w:val="auto"/>
          <w:sz w:val="24"/>
          <w:szCs w:val="24"/>
          <w:highlight w:val="none"/>
          <w:lang w:val="en-US" w:eastAsia="zh-CN"/>
        </w:rPr>
        <w:t xml:space="preserve">本项目评标方法</w:t>
      </w:r>
      <w:r>
        <w:rPr>
          <w:rFonts w:hint="eastAsia" w:ascii="宋体" w:hAnsi="宋体" w:eastAsia="宋体" w:cs="宋体"/>
          <w:color w:val="auto"/>
          <w:sz w:val="24"/>
          <w:szCs w:val="24"/>
          <w:highlight w:val="none"/>
        </w:rPr>
        <w:t xml:space="preserve">采用综合评分法，即指投标文件满足招标文件全部实质性要求，且按照评审因素的量化指标评审得分最高的投标人为中标候选人的评标方法。</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6.2评标结果按评审后得分由高到低顺序排列。得分相同的，按投标报价由低到高顺序排列。得分且投标报价相同的，则由</w:t>
      </w:r>
      <w:r>
        <w:rPr>
          <w:rFonts w:hint="eastAsia" w:ascii="宋体" w:hAnsi="宋体" w:eastAsia="宋体" w:cs="宋体"/>
          <w:color w:val="auto"/>
          <w:sz w:val="24"/>
          <w:szCs w:val="24"/>
          <w:highlight w:val="none"/>
          <w:lang w:val="en-US" w:eastAsia="zh-CN"/>
        </w:rPr>
        <w:t xml:space="preserve">评标委员会</w:t>
      </w:r>
      <w:r>
        <w:rPr>
          <w:rFonts w:hint="eastAsia" w:ascii="宋体" w:hAnsi="宋体" w:eastAsia="宋体" w:cs="宋体"/>
          <w:color w:val="auto"/>
          <w:sz w:val="24"/>
          <w:szCs w:val="24"/>
          <w:highlight w:val="none"/>
        </w:rPr>
        <w:t xml:space="preserve">组织抽签确定中标</w:t>
      </w:r>
      <w:r>
        <w:rPr>
          <w:rFonts w:hint="eastAsia" w:ascii="宋体" w:hAnsi="宋体" w:eastAsia="宋体" w:cs="宋体"/>
          <w:color w:val="auto"/>
          <w:sz w:val="24"/>
          <w:szCs w:val="24"/>
          <w:highlight w:val="none"/>
          <w:lang w:val="en-US" w:eastAsia="zh-CN"/>
        </w:rPr>
        <w:t xml:space="preserve">候选人顺序</w:t>
      </w:r>
      <w:r>
        <w:rPr>
          <w:rFonts w:hint="eastAsia" w:ascii="宋体" w:hAnsi="宋体" w:eastAsia="宋体" w:cs="宋体"/>
          <w:color w:val="auto"/>
          <w:sz w:val="24"/>
          <w:szCs w:val="24"/>
          <w:highlight w:val="none"/>
        </w:rPr>
        <w:t xml:space="preserve">。</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6.3评标委员会在确定的中标候选人名单中按顺序确定中标单位，中标候选人并列的，按照招标文件规定的方式确定中标单位。</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6.4采购人或者采购代理机构应当自中标单位确定之日起2个工作日内将中标单位在政府采购信息媒体上发布中标公告，中标公告期限为1个工作日。</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6.5</w:t>
      </w:r>
      <w:r>
        <w:rPr>
          <w:rFonts w:hint="eastAsia" w:ascii="宋体" w:hAnsi="宋体" w:eastAsia="宋体" w:cs="宋体"/>
          <w:color w:val="auto"/>
          <w:sz w:val="24"/>
          <w:szCs w:val="24"/>
          <w:highlight w:val="none"/>
        </w:rPr>
        <w:t xml:space="preserve">采购人或采购代理机构根据相关规定发布</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公告，</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公告发出的同时应当向</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供应商发出《</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通知书》</w:t>
      </w:r>
      <w:bookmarkStart w:id="7" w:name="_Hlk132385599"/>
      <w:r/>
      <w:bookmarkStart w:id="8" w:name="_Hlk132385577"/>
      <w:r/>
      <w:bookmarkStart w:id="9" w:name="_Hlk132389804"/>
      <w:r>
        <w:rPr>
          <w:rFonts w:hint="eastAsia" w:ascii="宋体" w:hAnsi="宋体" w:eastAsia="宋体" w:cs="宋体"/>
          <w:color w:val="auto"/>
          <w:sz w:val="24"/>
          <w:szCs w:val="24"/>
          <w:highlight w:val="none"/>
        </w:rPr>
        <w:t xml:space="preserve">。请</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供应商在</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结果公告届满之日起30日内,使用CA数字证书登录苏采云系统及时下载成交通知书。因系统存储空间有限，自</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结果公告届满之日起30日后，苏采云系统不再保证提供下载成交通知书服务,因未及时下载而造成的不利后果由成交供应商自行承担）；</w:t>
      </w:r>
      <w:bookmarkEnd w:id="7"/>
      <w:r/>
      <w:bookmarkEnd w:id="8"/>
      <w:r/>
      <w:bookmarkEnd w:id="9"/>
      <w:r>
        <w:rPr>
          <w:rFonts w:hint="eastAsia" w:ascii="宋体" w:hAnsi="宋体" w:eastAsia="宋体" w:cs="宋体"/>
          <w:color w:val="auto"/>
          <w:sz w:val="24"/>
          <w:szCs w:val="24"/>
          <w:highlight w:val="none"/>
        </w:rPr>
        <w:t xml:space="preserve">对未通过资格性审查的供应商，应当告知其未通过的原因；未</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供应商须在成交公告发出之日起2个工作日内向采购代理机构另行提供用以接收《未</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通知书》的电子邮件地址，未按时提供电子邮件地址或提供信息有误的，视为自动放弃并自行承担相应后果。</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6.6中标通知书发出后，采购人不得违法改变中标结果，中标单位无正当理由不得放弃中标。</w:t>
      </w:r>
      <w:r/>
    </w:p>
    <w:p>
      <w:pPr>
        <w:ind w:firstLine="482"/>
        <w:spacing w:line="360" w:lineRule="auto"/>
        <w:tabs>
          <w:tab w:val="left" w:pos="142" w:leader="none"/>
          <w:tab w:val="left" w:pos="60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7、履约保证金</w:t>
      </w:r>
      <w:r/>
    </w:p>
    <w:p>
      <w:pPr>
        <w:pStyle w:val="1008"/>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见第五章合同文本履约保证金条款。</w:t>
      </w:r>
      <w:r/>
    </w:p>
    <w:p>
      <w:pPr>
        <w:ind w:firstLine="482"/>
        <w:spacing w:line="360" w:lineRule="auto"/>
        <w:tabs>
          <w:tab w:val="left" w:pos="142" w:leader="none"/>
          <w:tab w:val="left" w:pos="60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8、合同的签订</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8.1采购人应当自</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通知书发出之日起</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日内</w:t>
      </w:r>
      <w:r>
        <w:rPr>
          <w:rFonts w:hint="eastAsia" w:ascii="宋体" w:hAnsi="宋体" w:eastAsia="宋体" w:cs="宋体"/>
          <w:color w:val="auto"/>
          <w:sz w:val="24"/>
          <w:szCs w:val="24"/>
          <w:highlight w:val="none"/>
          <w:lang w:val="en-US" w:eastAsia="zh-CN"/>
        </w:rPr>
        <w:t xml:space="preserve">（最迟30日内</w:t>
      </w:r>
      <w:r>
        <w:rPr>
          <w:rFonts w:hint="eastAsia" w:ascii="宋体" w:hAnsi="宋体" w:eastAsia="宋体" w:cs="宋体"/>
          <w:color w:val="auto"/>
          <w:szCs w:val="21"/>
          <w:highlight w:val="none"/>
        </w:rPr>
        <w:t xml:space="preserve">）</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按照招标文件及投标文件规定与中标单位签订书面合同。</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8.2</w:t>
      </w:r>
      <w:r>
        <w:rPr>
          <w:rFonts w:hint="eastAsia" w:ascii="宋体" w:hAnsi="宋体" w:eastAsia="宋体" w:cs="宋体"/>
          <w:color w:val="auto"/>
          <w:sz w:val="24"/>
          <w:szCs w:val="24"/>
          <w:highlight w:val="none"/>
        </w:rPr>
        <w:t xml:space="preserve">采购合同的双方当事人不得擅自变更、中止或者终止合同。合同继续履行将损害国家利益和社会公共利益的，双方当事人应当变更、中止或者终止合同。有过错的一方应当承担赔偿责任，双方都有过错的，各自承担相应责任。</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8.3 采购人不得向中标供应商提出任何不合理的要求作为签订合同的条件，不得与中标供应商私下订立背离合同实质性内容的协议。</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8.4依据《政府采购促进中小企业发展管理办法》（财库〔2020〕46号）规定，享受扶持政策获得政府采购合同的，小微企业不得将合同分包给大中型企业，中型企业不得将合同分包给大型企业。</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8.5中标供应商无正当理由不得放弃中标。</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8.6采购合同履行中，采购人需追加与合同标的相同货物、工程或者服务的，在不改变合同其他条款的前提下，可以与供应商协商签订补充合同，但所有补充合同的采购金额不得超过原合同采购金额的百分之十。</w:t>
      </w:r>
      <w:r/>
    </w:p>
    <w:p>
      <w:pPr>
        <w:ind w:firstLine="482"/>
        <w:spacing w:line="360" w:lineRule="auto"/>
        <w:tabs>
          <w:tab w:val="left" w:pos="142" w:leader="none"/>
          <w:tab w:val="left" w:pos="60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9、质疑</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9.1质疑及答复遵守《政府采购质疑和投诉办法》（中华人民共和国财政部令第94号）规定。</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9.2供应商认为招标文件、采购过程和中标、成交结果使自己的权益受到损害的，可以在知道或者应知其权益受到损害之日起七个工作日内，根据《政府采购质疑和投诉办法》（中华人民共和国财政部令第94号）以书面形式向采购人、代理机构提出质疑。采购代理机构应当在收到供应商书面质疑函后七个工作日内作出答复。</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9.3本项目投标人应当在法定质疑期内一次性提出针对同一采购程序环节的质疑。供应商如在法定期限内对同一采购程序环节提出多次质疑的，采购代理机构、采购人将只对供应商第一次质疑作出答复。</w:t>
      </w:r>
      <w:r/>
    </w:p>
    <w:p>
      <w:pPr>
        <w:ind w:firstLine="480"/>
        <w:spacing w:line="360" w:lineRule="auto"/>
        <w:tabs>
          <w:tab w:val="left" w:pos="142" w:leader="none"/>
          <w:tab w:val="left" w:pos="600" w:leader="none"/>
        </w:tabs>
        <w:rPr>
          <w:rFonts w:hint="eastAsia" w:ascii="宋体" w:hAnsi="宋体" w:eastAsia="宋体" w:cs="宋体"/>
          <w:b/>
          <w:bCs w:val="0"/>
          <w:color w:val="auto"/>
          <w:sz w:val="24"/>
          <w:szCs w:val="24"/>
          <w:highlight w:val="none"/>
        </w:rPr>
      </w:pPr>
      <w:r>
        <w:rPr>
          <w:rFonts w:hint="eastAsia" w:ascii="宋体" w:hAnsi="宋体" w:eastAsia="宋体" w:cs="宋体"/>
          <w:b w:val="0"/>
          <w:bCs/>
          <w:color w:val="auto"/>
          <w:sz w:val="24"/>
          <w:szCs w:val="24"/>
          <w:highlight w:val="none"/>
        </w:rPr>
        <w:t xml:space="preserve">9.4</w:t>
      </w:r>
      <w:r>
        <w:rPr>
          <w:rFonts w:hint="eastAsia" w:ascii="宋体" w:hAnsi="宋体" w:eastAsia="宋体" w:cs="宋体"/>
          <w:b w:val="0"/>
          <w:bCs/>
          <w:color w:val="auto"/>
          <w:sz w:val="24"/>
          <w:szCs w:val="24"/>
          <w:highlight w:val="none"/>
          <w:lang w:val="en-US" w:eastAsia="zh-CN"/>
        </w:rPr>
        <w:t xml:space="preserve">对招标</w:t>
      </w:r>
      <w:r>
        <w:rPr>
          <w:rFonts w:hint="eastAsia" w:ascii="宋体" w:hAnsi="宋体" w:eastAsia="宋体" w:cs="宋体"/>
          <w:b w:val="0"/>
          <w:bCs/>
          <w:color w:val="auto"/>
          <w:sz w:val="24"/>
          <w:szCs w:val="24"/>
          <w:highlight w:val="none"/>
        </w:rPr>
        <w:t xml:space="preserve">文件内容质疑时，</w:t>
      </w:r>
      <w:r>
        <w:rPr>
          <w:rFonts w:hint="eastAsia" w:ascii="宋体" w:hAnsi="宋体" w:eastAsia="宋体" w:cs="宋体"/>
          <w:b/>
          <w:bCs w:val="0"/>
          <w:color w:val="auto"/>
          <w:sz w:val="24"/>
          <w:szCs w:val="24"/>
          <w:highlight w:val="none"/>
        </w:rPr>
        <w:t xml:space="preserve">需提供在苏采云系统中下载本项目</w:t>
      </w:r>
      <w:r>
        <w:rPr>
          <w:rFonts w:hint="eastAsia" w:ascii="宋体" w:hAnsi="宋体" w:eastAsia="宋体" w:cs="宋体"/>
          <w:b/>
          <w:bCs w:val="0"/>
          <w:color w:val="auto"/>
          <w:sz w:val="24"/>
          <w:szCs w:val="24"/>
          <w:highlight w:val="none"/>
          <w:lang w:val="en-US" w:eastAsia="zh-CN"/>
        </w:rPr>
        <w:t xml:space="preserve">招标</w:t>
      </w:r>
      <w:r>
        <w:rPr>
          <w:rFonts w:hint="eastAsia" w:ascii="宋体" w:hAnsi="宋体" w:eastAsia="宋体" w:cs="宋体"/>
          <w:b/>
          <w:bCs w:val="0"/>
          <w:color w:val="auto"/>
          <w:sz w:val="24"/>
          <w:szCs w:val="24"/>
          <w:highlight w:val="none"/>
        </w:rPr>
        <w:t xml:space="preserve">文件的《投标供应商确认函》，未提供的视为未依照采购公告要求获取</w:t>
      </w:r>
      <w:r>
        <w:rPr>
          <w:rFonts w:hint="eastAsia" w:ascii="宋体" w:hAnsi="宋体" w:eastAsia="宋体" w:cs="宋体"/>
          <w:b/>
          <w:bCs w:val="0"/>
          <w:color w:val="auto"/>
          <w:sz w:val="24"/>
          <w:szCs w:val="24"/>
          <w:highlight w:val="none"/>
          <w:lang w:eastAsia="zh-CN"/>
        </w:rPr>
        <w:t xml:space="preserve">招标文件</w:t>
      </w:r>
      <w:r>
        <w:rPr>
          <w:rFonts w:hint="eastAsia" w:ascii="宋体" w:hAnsi="宋体" w:eastAsia="宋体" w:cs="宋体"/>
          <w:b/>
          <w:bCs w:val="0"/>
          <w:color w:val="auto"/>
          <w:sz w:val="24"/>
          <w:szCs w:val="24"/>
          <w:highlight w:val="none"/>
        </w:rPr>
        <w:t xml:space="preserve">的供应商，不具备对该政府采购项目提出质疑的法定权利。</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接收质疑函的方式为书面形式（当场送达或邮寄方式）</w:t>
      </w:r>
      <w:r>
        <w:rPr>
          <w:rFonts w:hint="eastAsia" w:ascii="宋体" w:hAnsi="宋体" w:eastAsia="宋体" w:cs="宋体"/>
          <w:bCs/>
          <w:color w:val="auto"/>
          <w:sz w:val="24"/>
          <w:szCs w:val="24"/>
          <w:highlight w:val="none"/>
        </w:rPr>
        <w:t xml:space="preserve">向采购人、采购代理机构提出质疑，联系人、联系电话和通讯地址等信息以</w:t>
      </w:r>
      <w:r>
        <w:rPr>
          <w:rFonts w:hint="eastAsia" w:ascii="宋体" w:hAnsi="宋体" w:eastAsia="宋体" w:cs="宋体"/>
          <w:bCs/>
          <w:color w:val="auto"/>
          <w:sz w:val="24"/>
          <w:szCs w:val="24"/>
          <w:highlight w:val="none"/>
          <w:lang w:val="en-US" w:eastAsia="zh-CN"/>
        </w:rPr>
        <w:t xml:space="preserve">招标</w:t>
      </w:r>
      <w:r>
        <w:rPr>
          <w:rFonts w:hint="eastAsia" w:ascii="宋体" w:hAnsi="宋体" w:eastAsia="宋体" w:cs="宋体"/>
          <w:bCs/>
          <w:color w:val="auto"/>
          <w:sz w:val="24"/>
          <w:szCs w:val="24"/>
          <w:highlight w:val="none"/>
        </w:rPr>
        <w:t xml:space="preserve">公告中</w:t>
      </w:r>
      <w:r>
        <w:rPr>
          <w:rFonts w:hint="eastAsia" w:ascii="宋体" w:hAnsi="宋体" w:eastAsia="宋体" w:cs="宋体"/>
          <w:b w:val="0"/>
          <w:bCs w:val="0"/>
          <w:color w:val="auto"/>
          <w:sz w:val="24"/>
          <w:szCs w:val="24"/>
          <w:highlight w:val="none"/>
        </w:rPr>
        <w:t xml:space="preserve">对本次招标提出询问</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请按以下方式联系</w:t>
      </w:r>
      <w:r>
        <w:rPr>
          <w:rFonts w:hint="eastAsia" w:ascii="宋体" w:hAnsi="宋体" w:eastAsia="宋体" w:cs="宋体"/>
          <w:bCs/>
          <w:color w:val="auto"/>
          <w:sz w:val="24"/>
          <w:szCs w:val="24"/>
          <w:highlight w:val="none"/>
        </w:rPr>
        <w:t xml:space="preserve">为准</w:t>
      </w:r>
      <w:r>
        <w:rPr>
          <w:rFonts w:hint="eastAsia" w:ascii="宋体" w:hAnsi="宋体" w:eastAsia="宋体" w:cs="宋体"/>
          <w:color w:val="auto"/>
          <w:sz w:val="24"/>
          <w:szCs w:val="24"/>
          <w:highlight w:val="none"/>
        </w:rPr>
        <w:t xml:space="preserve">。供应商质疑函范本格式请参照“苏州市政府采购”网站——“下载中心”——“</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"http://czju.suzhou.gov.cn/zfcg/html/content/20180305093615738.shtml" \t "http://czju.suzhou.gov.cn/zfcg/html/channel/_blank" \o "政府采购供应商质疑函范本"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政府采购供应商质疑函范本</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w:t>
      </w:r>
      <w:r/>
    </w:p>
    <w:p>
      <w:pPr>
        <w:ind w:firstLine="52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10、</w:t>
      </w:r>
      <w:r>
        <w:rPr>
          <w:rFonts w:hint="eastAsia" w:ascii="宋体" w:hAnsi="宋体" w:eastAsia="宋体" w:cs="宋体"/>
          <w:b/>
          <w:color w:val="auto"/>
          <w:sz w:val="24"/>
          <w:szCs w:val="24"/>
          <w:highlight w:val="none"/>
          <w:lang w:val="en-US" w:eastAsia="zh-CN"/>
        </w:rPr>
        <w:t xml:space="preserve">投标</w:t>
      </w:r>
      <w:r>
        <w:rPr>
          <w:rFonts w:hint="eastAsia" w:ascii="宋体" w:hAnsi="宋体" w:eastAsia="宋体" w:cs="宋体"/>
          <w:b/>
          <w:color w:val="auto"/>
          <w:sz w:val="24"/>
          <w:szCs w:val="24"/>
          <w:highlight w:val="none"/>
        </w:rPr>
        <w:t xml:space="preserve">文件的有效期</w:t>
      </w:r>
      <w:r/>
    </w:p>
    <w:p>
      <w:pPr>
        <w:ind w:firstLine="518"/>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10.1</w:t>
      </w:r>
      <w:r>
        <w:rPr>
          <w:rFonts w:hint="eastAsia" w:ascii="宋体" w:hAnsi="宋体" w:eastAsia="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rPr>
        <w:t xml:space="preserve">文件的有效期自提交</w:t>
      </w:r>
      <w:r>
        <w:rPr>
          <w:rFonts w:hint="eastAsia" w:ascii="宋体" w:hAnsi="宋体" w:eastAsia="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rPr>
        <w:t xml:space="preserve">文件的截止之日起</w:t>
      </w:r>
      <w:r>
        <w:rPr>
          <w:rFonts w:hint="eastAsia" w:ascii="宋体" w:hAnsi="宋体" w:eastAsia="宋体" w:cs="宋体"/>
          <w:bCs/>
          <w:color w:val="auto"/>
          <w:sz w:val="24"/>
          <w:szCs w:val="24"/>
          <w:highlight w:val="none"/>
          <w:lang w:val="en-US" w:eastAsia="zh-CN"/>
        </w:rPr>
        <w:t xml:space="preserve">九十</w:t>
      </w:r>
      <w:r>
        <w:rPr>
          <w:rFonts w:hint="eastAsia" w:ascii="宋体" w:hAnsi="宋体" w:eastAsia="宋体" w:cs="宋体"/>
          <w:bCs/>
          <w:color w:val="auto"/>
          <w:sz w:val="24"/>
          <w:szCs w:val="24"/>
          <w:highlight w:val="none"/>
        </w:rPr>
        <w:t xml:space="preserve">天，</w:t>
      </w:r>
      <w:r>
        <w:rPr>
          <w:rFonts w:hint="eastAsia" w:ascii="宋体" w:hAnsi="宋体" w:eastAsia="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rPr>
        <w:t xml:space="preserve">文件应保持有效。</w:t>
      </w:r>
      <w:r>
        <w:rPr>
          <w:rFonts w:hint="eastAsia" w:ascii="宋体" w:hAnsi="宋体" w:eastAsia="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rPr>
        <w:t xml:space="preserve">文件的有效期不明确或短于上述规定期限的，</w:t>
      </w:r>
      <w:r>
        <w:rPr>
          <w:rFonts w:hint="eastAsia" w:ascii="宋体" w:hAnsi="宋体" w:eastAsia="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rPr>
        <w:t xml:space="preserve">文件无效。</w:t>
      </w:r>
      <w:r/>
    </w:p>
    <w:p>
      <w:pPr>
        <w:ind w:firstLine="518"/>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10.2在特殊情况下，采购人可与供应商协商延长响应文件的有效期，这种要求和答复都应以书面形式进行。</w:t>
      </w:r>
      <w:r/>
    </w:p>
    <w:p>
      <w:pPr>
        <w:ind w:firstLine="520"/>
        <w:spacing w:line="36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rPr>
        <w:t xml:space="preserve">1</w:t>
      </w:r>
      <w:r>
        <w:rPr>
          <w:rFonts w:hint="eastAsia" w:ascii="宋体" w:hAnsi="宋体" w:eastAsia="宋体" w:cs="宋体"/>
          <w:b/>
          <w:color w:val="auto"/>
          <w:sz w:val="24"/>
          <w:szCs w:val="24"/>
          <w:highlight w:val="none"/>
          <w:lang w:val="en-US" w:eastAsia="zh-CN"/>
        </w:rPr>
        <w:t xml:space="preserve">1</w:t>
      </w:r>
      <w:r>
        <w:rPr>
          <w:rFonts w:hint="eastAsia" w:ascii="宋体" w:hAnsi="宋体" w:eastAsia="宋体" w:cs="宋体"/>
          <w:b/>
          <w:color w:val="auto"/>
          <w:sz w:val="24"/>
          <w:szCs w:val="24"/>
          <w:highlight w:val="none"/>
        </w:rPr>
        <w:t xml:space="preserve">、代理服务费</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lang w:val="en-US" w:eastAsia="zh-CN"/>
        </w:rPr>
        <w:t xml:space="preserve">由中标单位承担。因为本项目代理服务费是去年财政预算申报时已经包含在采购预算内。</w:t>
      </w:r>
      <w:r/>
    </w:p>
    <w:p>
      <w:pPr>
        <w:ind w:firstLine="518"/>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.1代理服务费以采购预算金额为基数依据</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按如下规定的标准和差额定率累进法进行计算收取：</w:t>
      </w:r>
      <w:r/>
    </w:p>
    <w:p>
      <w:pPr>
        <w:ind w:firstLine="518"/>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预算金额100万元以下部分</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费率为该部分预算金额的1.5％；</w:t>
      </w:r>
      <w:r/>
    </w:p>
    <w:p>
      <w:pPr>
        <w:ind w:firstLine="518"/>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预算金额100万元（含）－500万元部分</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费率为该部分预算金额的1.1％；</w:t>
      </w:r>
      <w:r/>
    </w:p>
    <w:p>
      <w:pPr>
        <w:ind w:firstLine="518"/>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预算金额500万元（含）-1000万元部分</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费率为该部分预算金额的0.8％；</w:t>
      </w:r>
      <w:r/>
    </w:p>
    <w:p>
      <w:pPr>
        <w:ind w:firstLine="518"/>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预算金额1000万元（含）-5000万元部分</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费率为该部分预算金额的0.5％；</w:t>
      </w:r>
      <w:r/>
    </w:p>
    <w:p>
      <w:pPr>
        <w:ind w:firstLine="518"/>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预算金额5000万元以上部分</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费率为该部分预算金额的0.25％。</w:t>
      </w:r>
      <w:r/>
    </w:p>
    <w:p>
      <w:pPr>
        <w:ind w:firstLine="518"/>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.2本项目代理服务费（人民币）：</w:t>
      </w:r>
      <w:r>
        <w:rPr>
          <w:rFonts w:hint="eastAsia" w:ascii="宋体" w:hAnsi="宋体" w:eastAsia="宋体" w:cs="宋体"/>
          <w:bCs/>
          <w:color w:val="auto"/>
          <w:sz w:val="24"/>
          <w:szCs w:val="24"/>
          <w:highlight w:val="none"/>
          <w:u w:val="none"/>
        </w:rPr>
        <w:t xml:space="preserve">70969</w:t>
      </w:r>
      <w:r>
        <w:rPr>
          <w:rFonts w:hint="eastAsia" w:ascii="宋体" w:hAnsi="宋体" w:eastAsia="宋体" w:cs="宋体"/>
          <w:bCs/>
          <w:color w:val="auto"/>
          <w:sz w:val="24"/>
          <w:szCs w:val="24"/>
          <w:highlight w:val="none"/>
          <w:u w:val="none"/>
          <w:lang w:val="en-US" w:eastAsia="zh-CN"/>
        </w:rPr>
        <w:t xml:space="preserve">.00元</w:t>
      </w:r>
      <w:r>
        <w:rPr>
          <w:rFonts w:hint="eastAsia" w:ascii="宋体" w:hAnsi="宋体" w:eastAsia="宋体" w:cs="宋体"/>
          <w:bCs/>
          <w:color w:val="auto"/>
          <w:sz w:val="24"/>
          <w:szCs w:val="24"/>
          <w:highlight w:val="none"/>
          <w:lang w:val="en-US" w:eastAsia="zh-CN"/>
        </w:rPr>
        <w:t xml:space="preserve">。</w:t>
      </w:r>
      <w:r/>
    </w:p>
    <w:p>
      <w:pPr>
        <w:ind w:firstLine="518"/>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.3代理服务费由中标</w:t>
      </w:r>
      <w:r>
        <w:rPr>
          <w:rFonts w:hint="eastAsia" w:ascii="宋体" w:hAnsi="宋体" w:eastAsia="宋体" w:cs="宋体"/>
          <w:bCs/>
          <w:color w:val="auto"/>
          <w:sz w:val="24"/>
          <w:szCs w:val="24"/>
          <w:highlight w:val="none"/>
          <w:lang w:val="en-US" w:eastAsia="zh-CN"/>
        </w:rPr>
        <w:t xml:space="preserve">单位</w:t>
      </w:r>
      <w:r>
        <w:rPr>
          <w:rFonts w:hint="eastAsia" w:ascii="宋体" w:hAnsi="宋体" w:eastAsia="宋体" w:cs="宋体"/>
          <w:bCs/>
          <w:color w:val="auto"/>
          <w:sz w:val="24"/>
          <w:szCs w:val="24"/>
          <w:highlight w:val="none"/>
        </w:rPr>
        <w:t xml:space="preserve">在领取中标通知书时一次性付清并含在其投标报价中。</w:t>
      </w:r>
      <w:r/>
    </w:p>
    <w:p>
      <w:pPr>
        <w:ind w:firstLine="518"/>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.4中标</w:t>
      </w:r>
      <w:r>
        <w:rPr>
          <w:rFonts w:hint="eastAsia" w:ascii="宋体" w:hAnsi="宋体" w:eastAsia="宋体" w:cs="宋体"/>
          <w:bCs/>
          <w:color w:val="auto"/>
          <w:sz w:val="24"/>
          <w:szCs w:val="24"/>
          <w:highlight w:val="none"/>
          <w:lang w:val="en-US" w:eastAsia="zh-CN"/>
        </w:rPr>
        <w:t xml:space="preserve">单位</w:t>
      </w:r>
      <w:r>
        <w:rPr>
          <w:rFonts w:hint="eastAsia" w:ascii="宋体" w:hAnsi="宋体" w:eastAsia="宋体" w:cs="宋体"/>
          <w:bCs/>
          <w:color w:val="auto"/>
          <w:sz w:val="24"/>
          <w:szCs w:val="24"/>
          <w:highlight w:val="none"/>
        </w:rPr>
        <w:t xml:space="preserve">如果未按上述规定缴纳中标服务费</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采购代理机构将保留诉讼的权利。</w:t>
      </w:r>
      <w:r/>
    </w:p>
    <w:p>
      <w:pPr>
        <w:ind w:firstLine="518"/>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.5采购代理机构服务费账号如下：</w:t>
      </w:r>
      <w:r/>
    </w:p>
    <w:p>
      <w:pPr>
        <w:ind w:firstLine="518"/>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收款单位：苏州正杰招投标咨询服务有限公司。</w:t>
      </w:r>
      <w:r>
        <w:rPr>
          <w:rFonts w:hint="eastAsia" w:ascii="宋体" w:hAnsi="宋体" w:eastAsia="宋体" w:cs="宋体"/>
          <w:bCs/>
          <w:color w:val="auto"/>
          <w:sz w:val="24"/>
          <w:szCs w:val="24"/>
          <w:highlight w:val="none"/>
        </w:rPr>
        <w:tab/>
      </w:r>
      <w:r/>
    </w:p>
    <w:p>
      <w:pPr>
        <w:ind w:firstLine="518"/>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银行账号：89190154740002582。</w:t>
      </w:r>
      <w:r/>
    </w:p>
    <w:p>
      <w:pPr>
        <w:ind w:firstLine="518"/>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开户银行：上海浦东发展银行苏州姑苏支行。</w:t>
      </w:r>
      <w:r/>
    </w:p>
    <w:p>
      <w:pPr>
        <w:ind w:firstLine="52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、其他事项</w:t>
      </w:r>
      <w:r/>
    </w:p>
    <w:p>
      <w:pPr>
        <w:ind w:firstLine="518"/>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.1未尽事宜按《中华人民共和国政府采购法》及其他有关法律法规文件的规定执行。</w:t>
      </w:r>
      <w:r/>
    </w:p>
    <w:p>
      <w:pPr>
        <w:pStyle w:val="924"/>
        <w:ind w:firstLine="502"/>
        <w:jc w:val="both"/>
        <w:spacing w:line="360" w:lineRule="auto"/>
        <w:shd w:val="clear" w:color="auto"/>
        <w:rPr>
          <w:rFonts w:hint="eastAsia" w:ascii="宋体" w:hAnsi="宋体" w:eastAsia="宋体" w:cs="宋体"/>
          <w:b/>
          <w:bCs/>
          <w:color w:val="auto"/>
          <w:highlight w:val="none"/>
        </w:rPr>
      </w:pPr>
      <w:r>
        <w:rPr>
          <w:rFonts w:hint="eastAsia" w:ascii="宋体" w:hAnsi="宋体" w:eastAsia="宋体" w:cs="宋体"/>
          <w:color w:val="auto"/>
          <w:szCs w:val="24"/>
          <w:highlight w:val="none"/>
          <w:lang w:val="en-US" w:eastAsia="zh-CN"/>
        </w:rPr>
        <w:t xml:space="preserve">12.2本项目专家评审费由采购单位承担。</w:t>
      </w:r>
      <w:r>
        <w:rPr>
          <w:rFonts w:hint="eastAsia" w:ascii="宋体" w:hAnsi="宋体" w:eastAsia="宋体" w:cs="宋体"/>
          <w:color w:val="auto"/>
          <w:szCs w:val="24"/>
          <w:highlight w:val="none"/>
        </w:rPr>
        <w:br w:type="page" w:clear="all"/>
      </w:r>
      <w:r/>
    </w:p>
    <w:p>
      <w:pPr>
        <w:pStyle w:val="924"/>
        <w:ind w:firstLine="482"/>
        <w:jc w:val="center"/>
        <w:spacing w:line="360" w:lineRule="auto"/>
        <w:shd w:val="clear" w:color="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第三章 投标文件格式</w:t>
      </w:r>
      <w:r/>
    </w:p>
    <w:p>
      <w:pPr>
        <w:pStyle w:val="998"/>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1、投标函</w:t>
      </w:r>
      <w:r/>
    </w:p>
    <w:p>
      <w:pPr>
        <w:pStyle w:val="998"/>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苏州正杰招投标咨询服务有限公司：</w:t>
      </w:r>
      <w:r/>
    </w:p>
    <w:p>
      <w:pPr>
        <w:pStyle w:val="998"/>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我们收到贵公司</w:t>
      </w:r>
      <w:r>
        <w:rPr>
          <w:rFonts w:hint="eastAsia" w:ascii="宋体" w:hAnsi="宋体" w:eastAsia="宋体" w:cs="宋体"/>
          <w:color w:val="auto"/>
          <w:szCs w:val="24"/>
          <w:highlight w:val="none"/>
        </w:rPr>
        <w:t xml:space="preserve">________</w:t>
      </w:r>
      <w:r>
        <w:rPr>
          <w:rFonts w:hint="eastAsia" w:ascii="宋体" w:hAnsi="宋体" w:eastAsia="宋体" w:cs="宋体"/>
          <w:color w:val="auto"/>
          <w:sz w:val="24"/>
          <w:szCs w:val="24"/>
          <w:highlight w:val="none"/>
        </w:rPr>
        <w:t xml:space="preserve">号招标文件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经仔细阅读和研究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我们决定参加采购活动。</w:t>
      </w:r>
      <w:r/>
    </w:p>
    <w:p>
      <w:pPr>
        <w:pStyle w:val="998"/>
        <w:numPr>
          <w:ilvl w:val="0"/>
          <w:numId w:val="0"/>
        </w:numPr>
        <w:ind w:firstLine="48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rPr>
        <w:t xml:space="preserve">我们愿意按照招标文件的一切要求</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提供完成该项目的全部内容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我们的投标报价包括完成所有采购内容以及本项目所需的劳务支出、保险、配套费用、税费及服务相关等所发生的全部费用以及企业利润、税金和政策性文件规定及合同包含的所有风险、责任等各项应有费用。</w:t>
      </w:r>
      <w:r/>
    </w:p>
    <w:p>
      <w:pPr>
        <w:pStyle w:val="998"/>
        <w:ind w:firstLine="48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2、如果我们的投标被接受</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我们将严格履行招标文件中规定的每一项要求</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严格履行合同的责任和义务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保证按期、按质履行合同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完成合同内容所规定的全部工作。</w:t>
      </w:r>
      <w:r/>
    </w:p>
    <w:p>
      <w:pPr>
        <w:pStyle w:val="998"/>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3、我们同意按招标文件规定</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本投标书的有效期限自提交投标文件的截止之日起</w:t>
      </w:r>
      <w:r>
        <w:rPr>
          <w:rFonts w:hint="eastAsia" w:ascii="宋体" w:hAnsi="宋体" w:eastAsia="宋体" w:cs="宋体"/>
          <w:color w:val="auto"/>
          <w:szCs w:val="24"/>
          <w:highlight w:val="none"/>
        </w:rPr>
        <w:t xml:space="preserve">___</w:t>
      </w:r>
      <w:r>
        <w:rPr>
          <w:rFonts w:hint="eastAsia" w:ascii="宋体" w:hAnsi="宋体" w:eastAsia="宋体" w:cs="宋体"/>
          <w:color w:val="auto"/>
          <w:sz w:val="24"/>
          <w:szCs w:val="24"/>
          <w:highlight w:val="none"/>
        </w:rPr>
        <w:t xml:space="preserve">天。如果我们在开标后规定的投标有效期内撤回投标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我们愿承担由此造成的一切后果。</w:t>
      </w:r>
      <w:r/>
    </w:p>
    <w:p>
      <w:pPr>
        <w:pStyle w:val="998"/>
        <w:ind w:firstLine="48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4、我们愿意提供招标文件中要求的所有资料</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也同意向贵方提供贵方可能另外要求的与其投标有关的任何证据或资料</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并保证所提供的资料全部是真实的、有效的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若有虚假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我们愿承担由此造成的一切后果。</w:t>
      </w:r>
      <w:r/>
    </w:p>
    <w:p>
      <w:pPr>
        <w:pStyle w:val="998"/>
        <w:ind w:firstLine="48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5、我们认为你们有权决定中标单位</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还认为你们有权接受或拒绝投标人。</w:t>
      </w:r>
      <w:r/>
    </w:p>
    <w:p>
      <w:pPr>
        <w:pStyle w:val="998"/>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6、我们愿意遵守招标公告及招标文件中所列的收费标准。</w:t>
      </w:r>
      <w:r/>
    </w:p>
    <w:p>
      <w:pPr>
        <w:pStyle w:val="998"/>
        <w:ind w:firstLine="48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7、我们承诺本项投标文件在开标后的全过程中保持有效。我们同意中标后若不履行投标文件的内容要求和各项承诺及义务的即被视为违约</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我们愿承担由此造成的一切后果。</w:t>
      </w:r>
      <w:r/>
    </w:p>
    <w:p>
      <w:pPr>
        <w:pStyle w:val="998"/>
        <w:ind w:firstLine="48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8、如果我们中标，我们愿意在签订合同时按招标文件规定支付中标服务费。</w:t>
      </w:r>
      <w:r/>
    </w:p>
    <w:p>
      <w:pPr>
        <w:pStyle w:val="998"/>
        <w:ind w:firstLine="48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、与本次招标有关的通讯地址：</w:t>
      </w:r>
      <w:r/>
    </w:p>
    <w:p>
      <w:pPr>
        <w:pStyle w:val="998"/>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单位名称：                                 联系人员：</w:t>
      </w:r>
      <w:r/>
    </w:p>
    <w:p>
      <w:pPr>
        <w:pStyle w:val="998"/>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单位地址：                                 邮政编码：</w:t>
      </w:r>
      <w:r/>
    </w:p>
    <w:p>
      <w:pPr>
        <w:pStyle w:val="998"/>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联系电话：                                 传真号码：</w:t>
      </w:r>
      <w:r/>
    </w:p>
    <w:p>
      <w:pPr>
        <w:pStyle w:val="924"/>
        <w:ind w:right="420" w:firstLine="48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投标人</w:t>
      </w:r>
      <w:r>
        <w:rPr>
          <w:rFonts w:hint="eastAsia" w:ascii="宋体" w:hAnsi="宋体" w:eastAsia="宋体" w:cs="宋体"/>
          <w:color w:val="auto"/>
          <w:sz w:val="24"/>
          <w:szCs w:val="24"/>
          <w:highlight w:val="none"/>
        </w:rPr>
        <w:t xml:space="preserve">（单位盖章）</w:t>
      </w:r>
      <w:r>
        <w:rPr>
          <w:rFonts w:hint="eastAsia" w:ascii="宋体" w:hAnsi="宋体" w:eastAsia="宋体" w:cs="宋体"/>
          <w:color w:val="auto"/>
          <w:szCs w:val="24"/>
          <w:highlight w:val="none"/>
        </w:rPr>
        <w:t xml:space="preserve">：</w:t>
      </w:r>
      <w:r>
        <w:rPr>
          <w:rFonts w:hint="eastAsia" w:ascii="宋体" w:hAnsi="宋体" w:eastAsia="宋体" w:cs="宋体"/>
          <w:color w:val="auto"/>
          <w:szCs w:val="24"/>
          <w:highlight w:val="none"/>
          <w:lang w:val="en-US" w:eastAsia="zh-CN"/>
        </w:rPr>
        <w:t xml:space="preserve">                       </w:t>
      </w:r>
      <w:r/>
    </w:p>
    <w:p>
      <w:pPr>
        <w:pStyle w:val="924"/>
        <w:ind w:right="420" w:firstLine="48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法定代表人或代理人</w:t>
      </w:r>
      <w:r>
        <w:rPr>
          <w:rFonts w:hint="eastAsia" w:ascii="宋体" w:hAnsi="宋体" w:eastAsia="宋体" w:cs="宋体"/>
          <w:color w:val="auto"/>
          <w:sz w:val="24"/>
          <w:szCs w:val="24"/>
          <w:highlight w:val="none"/>
        </w:rPr>
        <w:t xml:space="preserve">（签字或盖章）</w:t>
      </w:r>
      <w:r>
        <w:rPr>
          <w:rFonts w:hint="eastAsia" w:ascii="宋体" w:hAnsi="宋体" w:eastAsia="宋体" w:cs="宋体"/>
          <w:color w:val="auto"/>
          <w:szCs w:val="24"/>
          <w:highlight w:val="none"/>
        </w:rPr>
        <w:t xml:space="preserve">：</w:t>
      </w:r>
      <w:r/>
    </w:p>
    <w:p>
      <w:pPr>
        <w:pStyle w:val="924"/>
        <w:ind w:right="420" w:firstLine="48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日期：     年     月     日</w:t>
      </w:r>
      <w:r/>
    </w:p>
    <w:p>
      <w:pPr>
        <w:pStyle w:val="924"/>
        <w:ind w:right="420" w:firstLine="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24"/>
        <w:ind w:right="420" w:firstLine="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spacing w:line="360" w:lineRule="auto"/>
        <w:shd w:val="clear" w:color="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zh-CN"/>
        </w:rPr>
        <w:t xml:space="preserve">法定代表人授权委托书</w:t>
      </w:r>
      <w:r/>
    </w:p>
    <w:p>
      <w:pPr>
        <w:pStyle w:val="924"/>
        <w:ind w:firstLine="48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本授权委托书声明：我</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（姓名）系</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（单位名称）的法定代表人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现授权委托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 xml:space="preserve">（单位名称）</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（姓名）为我公司代理人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并以本公司的名义在</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号（</w:t>
      </w:r>
      <w:r>
        <w:rPr>
          <w:rFonts w:hint="eastAsia" w:ascii="宋体" w:hAnsi="宋体" w:eastAsia="宋体" w:cs="宋体"/>
          <w:color w:val="auto"/>
          <w:sz w:val="24"/>
          <w:szCs w:val="24"/>
          <w:highlight w:val="none"/>
          <w:lang w:val="en-US" w:eastAsia="zh-CN"/>
        </w:rPr>
        <w:t xml:space="preserve">项目</w:t>
      </w:r>
      <w:r>
        <w:rPr>
          <w:rFonts w:hint="eastAsia" w:ascii="宋体" w:hAnsi="宋体" w:eastAsia="宋体" w:cs="宋体"/>
          <w:color w:val="auto"/>
          <w:sz w:val="24"/>
          <w:szCs w:val="24"/>
          <w:highlight w:val="none"/>
        </w:rPr>
        <w:t xml:space="preserve">编号）采购项目的开标、评标和合同签订过程中所签署的一切文件和处理与这有关的一切事务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我公司均予以承认。</w:t>
      </w:r>
      <w:r/>
    </w:p>
    <w:p>
      <w:pPr>
        <w:pStyle w:val="924"/>
        <w:ind w:firstLine="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代理人在授权委托书有效期内签署的所有文件不因授权委托的撤销而失效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除非有撤销授权委托的书面通知</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本授权委托书有效期自投标文件提交开始至合同履行完毕止。</w:t>
      </w:r>
      <w:r/>
    </w:p>
    <w:p>
      <w:pPr>
        <w:pStyle w:val="924"/>
        <w:ind w:firstLine="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代理人无转委托权。特此委托。</w:t>
      </w:r>
      <w:r/>
    </w:p>
    <w:p>
      <w:pPr>
        <w:pStyle w:val="99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998"/>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投标人（单位盖章）：</w:t>
      </w:r>
      <w:r/>
    </w:p>
    <w:p>
      <w:pPr>
        <w:pStyle w:val="924"/>
        <w:ind w:firstLine="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法定代表人：（签字或盖章）</w:t>
      </w:r>
      <w:r/>
    </w:p>
    <w:p>
      <w:pPr>
        <w:pStyle w:val="924"/>
        <w:ind w:firstLine="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代理人：（签字或盖章）</w:t>
      </w:r>
      <w:r/>
    </w:p>
    <w:p>
      <w:pPr>
        <w:pStyle w:val="998"/>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pStyle w:val="924"/>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924"/>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注：本授权委托书仅限于法人性质投标人投标</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投标文件中必须提供法定代表人和代理人身份证复印件。非法人性质投标人投标</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授权委托书格式自拟</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但必须同时提供受托双方身份证复印件。</w:t>
      </w:r>
      <w:r/>
    </w:p>
    <w:p>
      <w:pPr>
        <w:pStyle w:val="959"/>
        <w:ind w:firstLine="480"/>
        <w:jc w:val="both"/>
        <w:spacing w:line="360" w:lineRule="auto"/>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24"/>
        <w:ind w:right="420" w:firstLine="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24"/>
        <w:ind w:right="420" w:firstLine="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24"/>
        <w:ind w:right="420" w:firstLine="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24"/>
        <w:ind w:right="420" w:firstLine="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24"/>
        <w:ind w:right="420" w:firstLine="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24"/>
        <w:ind w:right="420" w:firstLine="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24"/>
        <w:ind w:right="420" w:firstLine="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24"/>
        <w:ind w:firstLine="0"/>
        <w:jc w:val="center"/>
        <w:spacing w:line="360" w:lineRule="auto"/>
        <w:shd w:val="clear" w:color="auto"/>
        <w:rPr>
          <w:rFonts w:hint="eastAsia" w:ascii="宋体" w:hAnsi="宋体" w:eastAsia="宋体" w:cs="宋体"/>
          <w:color w:val="auto"/>
          <w:szCs w:val="24"/>
          <w:highlight w:val="none"/>
        </w:rPr>
        <w:sectPr>
          <w:footerReference w:type="default" r:id="rId14"/>
          <w:footnotePr/>
          <w:endnotePr/>
          <w:type w:val="nextPage"/>
          <w:pgSz w:w="11906" w:h="16838" w:orient="portrait"/>
          <w:pgMar w:top="1134" w:right="1134" w:bottom="1134" w:left="1134" w:header="851" w:footer="992" w:gutter="0"/>
          <w:pgNumType w:start="1"/>
          <w:cols w:num="1" w:sep="0" w:space="720" w:equalWidth="1"/>
          <w:docGrid w:linePitch="360"/>
        </w:sectPr>
        <w:outlineLvl w:val="1"/>
      </w:pPr>
      <w:r>
        <w:rPr>
          <w:rFonts w:hint="eastAsia" w:ascii="宋体" w:hAnsi="宋体" w:eastAsia="宋体" w:cs="宋体"/>
          <w:color w:val="auto"/>
          <w:szCs w:val="24"/>
          <w:highlight w:val="none"/>
        </w:rPr>
      </w:r>
      <w:r/>
    </w:p>
    <w:p>
      <w:pPr>
        <w:pStyle w:val="924"/>
        <w:ind w:right="420" w:firstLine="0"/>
        <w:spacing w:line="360" w:lineRule="auto"/>
        <w:shd w:val="clear" w:color="auto"/>
        <w:rPr>
          <w:rFonts w:hint="eastAsia" w:ascii="宋体" w:hAnsi="宋体" w:eastAsia="宋体" w:cs="宋体"/>
          <w:bCs/>
          <w:color w:val="auto"/>
          <w:szCs w:val="24"/>
          <w:highlight w:val="none"/>
        </w:rPr>
      </w:pPr>
      <w:r>
        <w:rPr>
          <w:rFonts w:hint="eastAsia" w:ascii="宋体" w:hAnsi="宋体" w:eastAsia="宋体" w:cs="宋体"/>
          <w:color w:val="auto"/>
          <w:szCs w:val="24"/>
          <w:highlight w:val="none"/>
        </w:rPr>
        <w:t xml:space="preserve">3</w:t>
      </w:r>
      <w:r>
        <w:rPr>
          <w:rFonts w:hint="eastAsia" w:ascii="宋体" w:hAnsi="宋体" w:eastAsia="宋体" w:cs="宋体"/>
          <w:bCs/>
          <w:color w:val="auto"/>
          <w:szCs w:val="24"/>
          <w:highlight w:val="none"/>
        </w:rPr>
        <w:t xml:space="preserve">、关于资格文件的声明函</w:t>
      </w:r>
      <w:r/>
    </w:p>
    <w:p>
      <w:pPr>
        <w:pStyle w:val="998"/>
        <w:spacing w:line="360" w:lineRule="auto"/>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苏州正杰招投标咨询服务有限公司：</w:t>
      </w:r>
      <w:r/>
    </w:p>
    <w:p>
      <w:pPr>
        <w:pStyle w:val="998"/>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本公司愿就由贵公司组织实施的</w:t>
      </w:r>
      <w:r>
        <w:rPr>
          <w:rFonts w:hint="eastAsia" w:ascii="宋体" w:hAnsi="宋体" w:eastAsia="宋体" w:cs="宋体"/>
          <w:color w:val="auto"/>
          <w:sz w:val="24"/>
          <w:szCs w:val="24"/>
          <w:highlight w:val="none"/>
          <w:lang w:val="en-US" w:eastAsia="zh-CN"/>
        </w:rPr>
        <w:t xml:space="preserve">项目</w:t>
      </w:r>
      <w:r>
        <w:rPr>
          <w:rFonts w:hint="eastAsia" w:ascii="宋体" w:hAnsi="宋体" w:eastAsia="宋体" w:cs="宋体"/>
          <w:color w:val="auto"/>
          <w:sz w:val="24"/>
          <w:szCs w:val="24"/>
          <w:highlight w:val="none"/>
        </w:rPr>
        <w:t xml:space="preserve">编号为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号的招标活动进行投标。本公司所提交的投标文件中所有关于投标资格的文件、证明和陈述均是真实的、准确的和有效的。若与事实情况不符</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本公司愿意承担由此而产生的一切后果。</w:t>
      </w:r>
      <w:r/>
    </w:p>
    <w:p>
      <w:pPr>
        <w:pStyle w:val="998"/>
        <w:spacing w:line="360" w:lineRule="auto"/>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998"/>
        <w:ind w:firstLine="480"/>
        <w:spacing w:line="360" w:lineRule="auto"/>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w:t>
      </w:r>
      <w:r>
        <w:rPr>
          <w:rFonts w:hint="eastAsia" w:ascii="宋体" w:hAnsi="宋体" w:eastAsia="宋体" w:cs="宋体"/>
          <w:color w:val="auto"/>
          <w:sz w:val="24"/>
          <w:szCs w:val="24"/>
          <w:highlight w:val="none"/>
        </w:rPr>
        <w:t xml:space="preserve">（单位盖章）</w:t>
      </w:r>
      <w:r>
        <w:rPr>
          <w:rFonts w:hint="eastAsia" w:ascii="宋体" w:hAnsi="宋体" w:eastAsia="宋体" w:cs="宋体"/>
          <w:bCs/>
          <w:color w:val="auto"/>
          <w:sz w:val="24"/>
          <w:szCs w:val="24"/>
          <w:highlight w:val="none"/>
        </w:rPr>
        <w:t xml:space="preserve">：</w:t>
      </w:r>
      <w:r/>
    </w:p>
    <w:p>
      <w:pPr>
        <w:pStyle w:val="998"/>
        <w:spacing w:line="360" w:lineRule="auto"/>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法定代表人或代理人</w:t>
      </w:r>
      <w:r>
        <w:rPr>
          <w:rFonts w:hint="eastAsia" w:ascii="宋体" w:hAnsi="宋体" w:eastAsia="宋体" w:cs="宋体"/>
          <w:color w:val="auto"/>
          <w:sz w:val="24"/>
          <w:szCs w:val="24"/>
          <w:highlight w:val="none"/>
        </w:rPr>
        <w:t xml:space="preserve">（签字或盖章）</w:t>
      </w:r>
      <w:r>
        <w:rPr>
          <w:rFonts w:hint="eastAsia" w:ascii="宋体" w:hAnsi="宋体" w:eastAsia="宋体" w:cs="宋体"/>
          <w:bCs/>
          <w:color w:val="auto"/>
          <w:sz w:val="24"/>
          <w:szCs w:val="24"/>
          <w:highlight w:val="none"/>
        </w:rPr>
        <w:t xml:space="preserve">：</w:t>
      </w:r>
      <w:r/>
    </w:p>
    <w:p>
      <w:pPr>
        <w:pStyle w:val="998"/>
        <w:ind w:firstLine="480"/>
        <w:spacing w:line="360" w:lineRule="auto"/>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日期：     年     月     日</w:t>
      </w:r>
      <w:r/>
    </w:p>
    <w:p>
      <w:pPr>
        <w:pStyle w:val="924"/>
        <w:ind w:right="420" w:firstLine="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1012"/>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1012"/>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1012"/>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1012"/>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24"/>
        <w:ind w:right="420" w:firstLine="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24"/>
        <w:ind w:right="420" w:firstLine="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24"/>
        <w:ind w:right="420" w:firstLine="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24"/>
        <w:ind w:right="420" w:firstLine="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24"/>
        <w:ind w:right="420" w:firstLine="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24"/>
        <w:ind w:right="420" w:firstLine="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24"/>
        <w:ind w:right="420" w:firstLine="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24"/>
        <w:ind w:right="420" w:firstLine="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24"/>
        <w:ind w:right="420" w:firstLine="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24"/>
        <w:ind w:right="420" w:firstLine="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24"/>
        <w:ind w:right="420" w:firstLine="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24"/>
        <w:ind w:right="420" w:firstLine="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24"/>
        <w:ind w:right="420" w:firstLine="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24"/>
        <w:ind w:right="420" w:firstLine="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24"/>
        <w:ind w:right="420" w:firstLine="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24"/>
        <w:ind w:right="420" w:firstLine="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24"/>
        <w:ind w:right="420" w:firstLine="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4、开标一览表</w:t>
      </w:r>
      <w:r/>
    </w:p>
    <w:tbl>
      <w:tblPr>
        <w:tblStyle w:val="921"/>
        <w:tblW w:w="96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52"/>
        <w:gridCol w:w="3061"/>
        <w:gridCol w:w="2293"/>
        <w:gridCol w:w="1801"/>
        <w:gridCol w:w="1331"/>
      </w:tblGrid>
      <w:tr>
        <w:trPr>
          <w:jc w:val="center"/>
          <w:trHeight w:val="567"/>
        </w:trPr>
        <w:tc>
          <w:tcPr>
            <w:tcW w:w="1152" w:type="dxa"/>
            <w:vAlign w:val="center"/>
            <w:textDirection w:val="lrTb"/>
            <w:noWrap w:val="false"/>
          </w:tcPr>
          <w:p>
            <w:pPr>
              <w:pStyle w:val="937"/>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序号</w:t>
            </w:r>
            <w:r/>
          </w:p>
        </w:tc>
        <w:tc>
          <w:tcPr>
            <w:tcW w:w="3061" w:type="dxa"/>
            <w:vAlign w:val="center"/>
            <w:textDirection w:val="lrTb"/>
            <w:noWrap w:val="false"/>
          </w:tcPr>
          <w:p>
            <w:pPr>
              <w:pStyle w:val="937"/>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项目名称</w:t>
            </w:r>
            <w:r/>
          </w:p>
        </w:tc>
        <w:tc>
          <w:tcPr>
            <w:tcW w:w="2293" w:type="dxa"/>
            <w:vAlign w:val="center"/>
            <w:textDirection w:val="lrTb"/>
            <w:noWrap w:val="false"/>
          </w:tcPr>
          <w:p>
            <w:pPr>
              <w:pStyle w:val="937"/>
              <w:jc w:val="center"/>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投标总价（元）</w:t>
            </w:r>
            <w:r/>
          </w:p>
        </w:tc>
        <w:tc>
          <w:tcPr>
            <w:tcW w:w="1801" w:type="dxa"/>
            <w:vAlign w:val="center"/>
            <w:textDirection w:val="lrTb"/>
            <w:noWrap w:val="false"/>
          </w:tcPr>
          <w:p>
            <w:pPr>
              <w:pStyle w:val="937"/>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合同履行期限</w:t>
            </w:r>
            <w:r/>
          </w:p>
        </w:tc>
        <w:tc>
          <w:tcPr>
            <w:tcW w:w="1331" w:type="dxa"/>
            <w:vAlign w:val="center"/>
            <w:textDirection w:val="lrTb"/>
            <w:noWrap w:val="false"/>
          </w:tcPr>
          <w:p>
            <w:pPr>
              <w:pStyle w:val="937"/>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备注</w:t>
            </w:r>
            <w:r/>
          </w:p>
        </w:tc>
      </w:tr>
      <w:tr>
        <w:trPr>
          <w:jc w:val="center"/>
          <w:trHeight w:val="567"/>
        </w:trPr>
        <w:tc>
          <w:tcPr>
            <w:tcW w:w="1152"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W w:w="3061" w:type="dxa"/>
            <w:vAlign w:val="center"/>
            <w:textDirection w:val="lrTb"/>
            <w:noWrap w:val="false"/>
          </w:tcPr>
          <w:p>
            <w:pPr>
              <w:jc w:val="center"/>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tc>
        <w:tc>
          <w:tcPr>
            <w:tcW w:w="2293" w:type="dxa"/>
            <w:vAlign w:val="center"/>
            <w:textDirection w:val="lrTb"/>
            <w:noWrap w:val="false"/>
          </w:tcPr>
          <w:p>
            <w:pPr>
              <w:pStyle w:val="937"/>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801" w:type="dxa"/>
            <w:vAlign w:val="center"/>
            <w:textDirection w:val="lrTb"/>
            <w:noWrap w:val="false"/>
          </w:tcPr>
          <w:p>
            <w:pPr>
              <w:pStyle w:val="937"/>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31" w:type="dxa"/>
            <w:vAlign w:val="center"/>
            <w:textDirection w:val="lrTb"/>
            <w:noWrap w:val="false"/>
          </w:tcPr>
          <w:p>
            <w:pPr>
              <w:pStyle w:val="937"/>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pStyle w:val="937"/>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998"/>
        <w:ind w:firstLine="480"/>
        <w:spacing w:line="360" w:lineRule="auto"/>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w:t>
      </w:r>
      <w:r>
        <w:rPr>
          <w:rFonts w:hint="eastAsia" w:ascii="宋体" w:hAnsi="宋体" w:eastAsia="宋体" w:cs="宋体"/>
          <w:color w:val="auto"/>
          <w:sz w:val="24"/>
          <w:szCs w:val="24"/>
          <w:highlight w:val="none"/>
        </w:rPr>
        <w:t xml:space="preserve">（单位盖章）</w:t>
      </w:r>
      <w:r>
        <w:rPr>
          <w:rFonts w:hint="eastAsia" w:ascii="宋体" w:hAnsi="宋体" w:eastAsia="宋体" w:cs="宋体"/>
          <w:bCs/>
          <w:color w:val="auto"/>
          <w:sz w:val="24"/>
          <w:szCs w:val="24"/>
          <w:highlight w:val="none"/>
        </w:rPr>
        <w:t xml:space="preserve">：</w:t>
      </w:r>
      <w:r/>
    </w:p>
    <w:p>
      <w:pPr>
        <w:pStyle w:val="998"/>
        <w:spacing w:line="360" w:lineRule="auto"/>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法定代表人或代理人</w:t>
      </w:r>
      <w:r>
        <w:rPr>
          <w:rFonts w:hint="eastAsia" w:ascii="宋体" w:hAnsi="宋体" w:eastAsia="宋体" w:cs="宋体"/>
          <w:color w:val="auto"/>
          <w:sz w:val="24"/>
          <w:szCs w:val="24"/>
          <w:highlight w:val="none"/>
        </w:rPr>
        <w:t xml:space="preserve">（签字或盖章）</w:t>
      </w:r>
      <w:r>
        <w:rPr>
          <w:rFonts w:hint="eastAsia" w:ascii="宋体" w:hAnsi="宋体" w:eastAsia="宋体" w:cs="宋体"/>
          <w:bCs/>
          <w:color w:val="auto"/>
          <w:sz w:val="24"/>
          <w:szCs w:val="24"/>
          <w:highlight w:val="none"/>
        </w:rPr>
        <w:t xml:space="preserve">：</w:t>
      </w:r>
      <w:r/>
    </w:p>
    <w:p>
      <w:pPr>
        <w:pStyle w:val="998"/>
        <w:ind w:firstLine="480"/>
        <w:spacing w:line="360" w:lineRule="auto"/>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日期：     年     月     日</w:t>
      </w:r>
      <w:r/>
    </w:p>
    <w:p>
      <w:pPr>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p>
      <w:pPr>
        <w:pStyle w:val="924"/>
        <w:ind w:right="420" w:firstLine="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24"/>
        <w:ind w:right="420" w:firstLine="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24"/>
        <w:ind w:right="420" w:firstLine="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24"/>
        <w:ind w:right="420" w:firstLine="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24"/>
        <w:ind w:right="420" w:firstLine="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24"/>
        <w:ind w:right="420" w:firstLine="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24"/>
        <w:ind w:right="420" w:firstLine="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24"/>
        <w:ind w:right="420" w:firstLine="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24"/>
        <w:ind w:right="420" w:firstLine="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24"/>
        <w:ind w:right="420" w:firstLine="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24"/>
        <w:ind w:right="420" w:firstLine="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24"/>
        <w:ind w:right="420" w:firstLine="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24"/>
        <w:ind w:right="420" w:firstLine="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24"/>
        <w:ind w:right="420" w:firstLine="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24"/>
        <w:ind w:right="420" w:firstLine="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24"/>
        <w:ind w:right="420" w:firstLine="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24"/>
        <w:ind w:right="420" w:firstLine="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24"/>
        <w:ind w:right="420" w:firstLine="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24"/>
        <w:ind w:right="420" w:firstLine="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24"/>
        <w:ind w:right="420" w:firstLine="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24"/>
        <w:ind w:right="420" w:firstLine="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24"/>
        <w:ind w:right="420" w:firstLine="0"/>
        <w:spacing w:line="360" w:lineRule="auto"/>
        <w:shd w:val="clear" w:color="auto"/>
        <w:rPr>
          <w:rFonts w:hint="eastAsia" w:ascii="宋体" w:hAnsi="宋体" w:eastAsia="宋体" w:cs="宋体"/>
          <w:color w:val="auto"/>
          <w:szCs w:val="24"/>
          <w:highlight w:val="none"/>
        </w:rPr>
      </w:pPr>
      <w:r/>
      <w:bookmarkStart w:id="10" w:name="_Toc142194269"/>
      <w:r>
        <w:rPr>
          <w:rFonts w:hint="eastAsia" w:ascii="宋体" w:hAnsi="宋体" w:eastAsia="宋体" w:cs="宋体"/>
          <w:color w:val="auto"/>
          <w:szCs w:val="24"/>
          <w:highlight w:val="none"/>
        </w:rPr>
        <w:br/>
      </w:r>
      <w:r>
        <w:rPr>
          <w:rFonts w:hint="eastAsia" w:ascii="宋体" w:hAnsi="宋体" w:eastAsia="宋体" w:cs="宋体"/>
          <w:b w:val="0"/>
          <w:bCs w:val="0"/>
          <w:color w:val="auto"/>
          <w:szCs w:val="24"/>
          <w:highlight w:val="none"/>
        </w:rPr>
        <w:t xml:space="preserve">5、</w:t>
      </w:r>
      <w:r>
        <w:rPr>
          <w:rFonts w:hint="eastAsia" w:ascii="宋体" w:hAnsi="宋体" w:eastAsia="宋体" w:cs="宋体"/>
          <w:b w:val="0"/>
          <w:bCs w:val="0"/>
          <w:color w:val="auto"/>
          <w:sz w:val="24"/>
          <w:szCs w:val="24"/>
          <w:highlight w:val="none"/>
          <w:lang w:val="en-US" w:eastAsia="zh-CN"/>
        </w:rPr>
        <w:t xml:space="preserve">公开</w:t>
      </w:r>
      <w:r>
        <w:rPr>
          <w:rFonts w:hint="eastAsia" w:ascii="宋体" w:hAnsi="宋体" w:eastAsia="宋体" w:cs="宋体"/>
          <w:b w:val="0"/>
          <w:bCs w:val="0"/>
          <w:color w:val="auto"/>
          <w:sz w:val="24"/>
          <w:szCs w:val="24"/>
          <w:highlight w:val="none"/>
        </w:rPr>
        <w:t xml:space="preserve">分项报价表</w:t>
      </w:r>
      <w:bookmarkEnd w:id="10"/>
      <w:r/>
      <w:r/>
    </w:p>
    <w:tbl>
      <w:tblPr>
        <w:tblStyle w:val="921"/>
        <w:tblW w:w="96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93"/>
        <w:gridCol w:w="3091"/>
        <w:gridCol w:w="906"/>
        <w:gridCol w:w="906"/>
        <w:gridCol w:w="906"/>
        <w:gridCol w:w="906"/>
        <w:gridCol w:w="1846"/>
      </w:tblGrid>
      <w:tr>
        <w:trPr>
          <w:jc w:val="center"/>
          <w:trHeight w:val="567"/>
        </w:trPr>
        <w:tc>
          <w:tcPr>
            <w:tcW w:w="1093" w:type="dxa"/>
            <w:vAlign w:val="center"/>
            <w:textDirection w:val="lrTb"/>
            <w:noWrap w:val="false"/>
          </w:tcPr>
          <w:p>
            <w:pPr>
              <w:jc w:val="cente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序号</w:t>
            </w:r>
            <w:r/>
          </w:p>
        </w:tc>
        <w:tc>
          <w:tcPr>
            <w:tcW w:w="3091" w:type="dxa"/>
            <w:vAlign w:val="center"/>
            <w:textDirection w:val="lrTb"/>
            <w:noWrap w:val="false"/>
          </w:tcPr>
          <w:p>
            <w:pPr>
              <w:jc w:val="cente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费用条目</w:t>
            </w:r>
            <w:r/>
          </w:p>
        </w:tc>
        <w:tc>
          <w:tcPr>
            <w:tcW w:w="906" w:type="dxa"/>
            <w:vAlign w:val="center"/>
            <w:textDirection w:val="lrTb"/>
            <w:noWrap w:val="false"/>
          </w:tcPr>
          <w:p>
            <w:pPr>
              <w:jc w:val="cente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单位</w:t>
            </w:r>
            <w:r/>
          </w:p>
        </w:tc>
        <w:tc>
          <w:tcPr>
            <w:tcW w:w="906" w:type="dxa"/>
            <w:vAlign w:val="center"/>
            <w:textDirection w:val="lrTb"/>
            <w:noWrap w:val="false"/>
          </w:tcPr>
          <w:p>
            <w:pPr>
              <w:jc w:val="cente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数量</w:t>
            </w:r>
            <w:r/>
          </w:p>
        </w:tc>
        <w:tc>
          <w:tcPr>
            <w:tcW w:w="906" w:type="dxa"/>
            <w:vAlign w:val="center"/>
            <w:textDirection w:val="lrTb"/>
            <w:noWrap w:val="false"/>
          </w:tcPr>
          <w:p>
            <w:pPr>
              <w:jc w:val="cente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单价</w:t>
            </w:r>
            <w:r/>
          </w:p>
        </w:tc>
        <w:tc>
          <w:tcPr>
            <w:tcW w:w="906" w:type="dxa"/>
            <w:vAlign w:val="center"/>
            <w:textDirection w:val="lrTb"/>
            <w:noWrap w:val="false"/>
          </w:tcPr>
          <w:p>
            <w:pPr>
              <w:jc w:val="cente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总价</w:t>
            </w:r>
            <w:r/>
          </w:p>
        </w:tc>
        <w:tc>
          <w:tcPr>
            <w:tcW w:w="1846" w:type="dxa"/>
            <w:vAlign w:val="center"/>
            <w:textDirection w:val="lrTb"/>
            <w:noWrap w:val="false"/>
          </w:tcPr>
          <w:p>
            <w:pPr>
              <w:jc w:val="cente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备注</w:t>
            </w:r>
            <w:r/>
          </w:p>
        </w:tc>
      </w:tr>
      <w:tr>
        <w:trPr>
          <w:jc w:val="center"/>
          <w:trHeight w:val="567"/>
        </w:trPr>
        <w:tc>
          <w:tcPr>
            <w:tcW w:w="1093" w:type="dxa"/>
            <w:vAlign w:val="center"/>
            <w:textDirection w:val="lrTb"/>
            <w:noWrap w:val="false"/>
          </w:tcPr>
          <w:p>
            <w:pPr>
              <w:pStyle w:val="924"/>
              <w:ind w:right="21" w:firstLine="0"/>
              <w:jc w:val="center"/>
              <w:spacing w:line="360" w:lineRule="auto"/>
              <w:shd w:val="clear" w:color="auto" w:fill="auto"/>
              <w:rPr>
                <w:rFonts w:hint="eastAsia" w:ascii="宋体" w:hAnsi="宋体" w:eastAsia="宋体" w:cs="宋体"/>
                <w:color w:val="auto"/>
                <w:szCs w:val="24"/>
                <w:highlight w:val="none"/>
              </w:rPr>
            </w:pPr>
            <w:r>
              <w:rPr>
                <w:rFonts w:hint="eastAsia" w:ascii="宋体" w:hAnsi="宋体" w:eastAsia="宋体" w:cs="宋体"/>
                <w:color w:val="auto"/>
                <w:sz w:val="24"/>
                <w:szCs w:val="24"/>
                <w:highlight w:val="none"/>
                <w:lang w:val="en-US" w:eastAsia="zh-CN"/>
              </w:rPr>
              <w:t xml:space="preserve">1</w:t>
            </w:r>
            <w:r/>
          </w:p>
        </w:tc>
        <w:tc>
          <w:tcPr>
            <w:tcW w:w="3091" w:type="dxa"/>
            <w:vAlign w:val="center"/>
            <w:textDirection w:val="lrTb"/>
            <w:noWrap w:val="false"/>
          </w:tcPr>
          <w:p>
            <w:pP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906" w:type="dxa"/>
            <w:vAlign w:val="center"/>
            <w:textDirection w:val="lrTb"/>
            <w:noWrap w:val="false"/>
          </w:tcPr>
          <w:p>
            <w:pPr>
              <w:pStyle w:val="924"/>
              <w:ind w:right="420" w:firstLine="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906" w:type="dxa"/>
            <w:vAlign w:val="center"/>
            <w:textDirection w:val="lrTb"/>
            <w:noWrap w:val="false"/>
          </w:tcPr>
          <w:p>
            <w:pPr>
              <w:pStyle w:val="924"/>
              <w:ind w:right="420" w:firstLine="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906" w:type="dxa"/>
            <w:vAlign w:val="center"/>
            <w:textDirection w:val="lrTb"/>
            <w:noWrap w:val="false"/>
          </w:tcPr>
          <w:p>
            <w:pPr>
              <w:pStyle w:val="924"/>
              <w:ind w:right="420" w:firstLine="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906" w:type="dxa"/>
            <w:vAlign w:val="center"/>
            <w:textDirection w:val="lrTb"/>
            <w:noWrap w:val="false"/>
          </w:tcPr>
          <w:p>
            <w:pPr>
              <w:pStyle w:val="924"/>
              <w:ind w:right="420" w:firstLine="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846" w:type="dxa"/>
            <w:vAlign w:val="center"/>
            <w:textDirection w:val="lrTb"/>
            <w:noWrap w:val="false"/>
          </w:tcPr>
          <w:p>
            <w:pPr>
              <w:pStyle w:val="924"/>
              <w:ind w:right="420" w:firstLine="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567"/>
        </w:trPr>
        <w:tc>
          <w:tcPr>
            <w:tcW w:w="1093" w:type="dxa"/>
            <w:vAlign w:val="center"/>
            <w:textDirection w:val="lrTb"/>
            <w:noWrap w:val="false"/>
          </w:tcPr>
          <w:p>
            <w:pPr>
              <w:pStyle w:val="924"/>
              <w:ind w:right="21" w:firstLine="0"/>
              <w:jc w:val="center"/>
              <w:spacing w:line="360" w:lineRule="auto"/>
              <w:shd w:val="clear" w:color="auto" w:fill="auto"/>
              <w:rPr>
                <w:rFonts w:hint="eastAsia" w:ascii="宋体" w:hAnsi="宋体" w:eastAsia="宋体" w:cs="宋体"/>
                <w:color w:val="auto"/>
                <w:szCs w:val="24"/>
                <w:highlight w:val="none"/>
              </w:rPr>
            </w:pPr>
            <w:r>
              <w:rPr>
                <w:rFonts w:hint="eastAsia" w:ascii="宋体" w:hAnsi="宋体" w:eastAsia="宋体" w:cs="宋体"/>
                <w:color w:val="auto"/>
                <w:sz w:val="24"/>
                <w:szCs w:val="24"/>
                <w:highlight w:val="none"/>
                <w:lang w:val="en-US" w:eastAsia="zh-CN"/>
              </w:rPr>
              <w:t xml:space="preserve">2</w:t>
            </w:r>
            <w:r/>
          </w:p>
        </w:tc>
        <w:tc>
          <w:tcPr>
            <w:tcW w:w="3091" w:type="dxa"/>
            <w:vAlign w:val="center"/>
            <w:textDirection w:val="lrTb"/>
            <w:noWrap w:val="false"/>
          </w:tcPr>
          <w:p>
            <w:pPr>
              <w:spacing w:line="360" w:lineRule="auto"/>
              <w:rPr>
                <w:rStyle w:val="967"/>
                <w:rFonts w:hint="eastAsia" w:ascii="宋体" w:hAnsi="宋体" w:eastAsia="宋体" w:cs="宋体"/>
                <w:color w:val="auto"/>
                <w:highlight w:val="none"/>
              </w:rPr>
            </w:pPr>
            <w:r>
              <w:rPr>
                <w:rFonts w:hint="eastAsia" w:ascii="宋体" w:hAnsi="宋体" w:eastAsia="宋体" w:cs="宋体"/>
                <w:color w:val="auto"/>
                <w:highlight w:val="none"/>
              </w:rPr>
            </w:r>
            <w:r/>
          </w:p>
        </w:tc>
        <w:tc>
          <w:tcPr>
            <w:tcW w:w="906" w:type="dxa"/>
            <w:vAlign w:val="center"/>
            <w:textDirection w:val="lrTb"/>
            <w:noWrap w:val="false"/>
          </w:tcPr>
          <w:p>
            <w:pPr>
              <w:pStyle w:val="924"/>
              <w:ind w:right="420" w:firstLine="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906" w:type="dxa"/>
            <w:vAlign w:val="center"/>
            <w:textDirection w:val="lrTb"/>
            <w:noWrap w:val="false"/>
          </w:tcPr>
          <w:p>
            <w:pPr>
              <w:pStyle w:val="924"/>
              <w:ind w:right="420" w:firstLine="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906" w:type="dxa"/>
            <w:vAlign w:val="center"/>
            <w:textDirection w:val="lrTb"/>
            <w:noWrap w:val="false"/>
          </w:tcPr>
          <w:p>
            <w:pPr>
              <w:pStyle w:val="924"/>
              <w:ind w:right="420" w:firstLine="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906" w:type="dxa"/>
            <w:vAlign w:val="center"/>
            <w:textDirection w:val="lrTb"/>
            <w:noWrap w:val="false"/>
          </w:tcPr>
          <w:p>
            <w:pPr>
              <w:pStyle w:val="924"/>
              <w:ind w:right="420" w:firstLine="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846" w:type="dxa"/>
            <w:vAlign w:val="center"/>
            <w:textDirection w:val="lrTb"/>
            <w:noWrap w:val="false"/>
          </w:tcPr>
          <w:p>
            <w:pPr>
              <w:pStyle w:val="924"/>
              <w:ind w:right="420" w:firstLine="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567"/>
        </w:trPr>
        <w:tc>
          <w:tcPr>
            <w:tcW w:w="1093" w:type="dxa"/>
            <w:vAlign w:val="center"/>
            <w:textDirection w:val="lrTb"/>
            <w:noWrap w:val="false"/>
          </w:tcPr>
          <w:p>
            <w:pPr>
              <w:pStyle w:val="924"/>
              <w:ind w:right="21" w:firstLine="0"/>
              <w:jc w:val="center"/>
              <w:spacing w:line="360" w:lineRule="auto"/>
              <w:shd w:val="clear" w:color="auto" w:fill="auto"/>
              <w:rPr>
                <w:rFonts w:hint="eastAsia" w:ascii="宋体" w:hAnsi="宋体" w:eastAsia="宋体" w:cs="宋体"/>
                <w:color w:val="auto"/>
                <w:szCs w:val="24"/>
                <w:highlight w:val="none"/>
              </w:rPr>
            </w:pPr>
            <w:r>
              <w:rPr>
                <w:rFonts w:hint="eastAsia" w:ascii="宋体" w:hAnsi="宋体" w:eastAsia="宋体" w:cs="宋体"/>
                <w:color w:val="auto"/>
                <w:sz w:val="24"/>
                <w:szCs w:val="24"/>
                <w:highlight w:val="none"/>
                <w:lang w:val="en-US" w:eastAsia="zh-CN"/>
              </w:rPr>
              <w:t xml:space="preserve">3</w:t>
            </w:r>
            <w:r/>
          </w:p>
        </w:tc>
        <w:tc>
          <w:tcPr>
            <w:tcW w:w="3091" w:type="dxa"/>
            <w:vAlign w:val="center"/>
            <w:textDirection w:val="lrTb"/>
            <w:noWrap w:val="false"/>
          </w:tcPr>
          <w:p>
            <w:pPr>
              <w:spacing w:line="360" w:lineRule="auto"/>
              <w:rPr>
                <w:rStyle w:val="967"/>
                <w:rFonts w:hint="eastAsia" w:ascii="宋体" w:hAnsi="宋体" w:eastAsia="宋体" w:cs="宋体"/>
                <w:color w:val="auto"/>
                <w:highlight w:val="none"/>
              </w:rPr>
            </w:pPr>
            <w:r>
              <w:rPr>
                <w:rFonts w:hint="eastAsia" w:ascii="宋体" w:hAnsi="宋体" w:eastAsia="宋体" w:cs="宋体"/>
                <w:color w:val="auto"/>
                <w:highlight w:val="none"/>
              </w:rPr>
            </w:r>
            <w:r/>
          </w:p>
        </w:tc>
        <w:tc>
          <w:tcPr>
            <w:tcW w:w="906" w:type="dxa"/>
            <w:vAlign w:val="center"/>
            <w:textDirection w:val="lrTb"/>
            <w:noWrap w:val="false"/>
          </w:tcPr>
          <w:p>
            <w:pPr>
              <w:pStyle w:val="924"/>
              <w:ind w:right="420" w:firstLine="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906" w:type="dxa"/>
            <w:vAlign w:val="center"/>
            <w:textDirection w:val="lrTb"/>
            <w:noWrap w:val="false"/>
          </w:tcPr>
          <w:p>
            <w:pPr>
              <w:pStyle w:val="924"/>
              <w:ind w:right="420" w:firstLine="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906" w:type="dxa"/>
            <w:vAlign w:val="center"/>
            <w:textDirection w:val="lrTb"/>
            <w:noWrap w:val="false"/>
          </w:tcPr>
          <w:p>
            <w:pPr>
              <w:pStyle w:val="924"/>
              <w:ind w:right="420" w:firstLine="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906" w:type="dxa"/>
            <w:vAlign w:val="center"/>
            <w:textDirection w:val="lrTb"/>
            <w:noWrap w:val="false"/>
          </w:tcPr>
          <w:p>
            <w:pPr>
              <w:pStyle w:val="924"/>
              <w:ind w:right="420" w:firstLine="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846" w:type="dxa"/>
            <w:vAlign w:val="center"/>
            <w:textDirection w:val="lrTb"/>
            <w:noWrap w:val="false"/>
          </w:tcPr>
          <w:p>
            <w:pPr>
              <w:pStyle w:val="924"/>
              <w:ind w:right="420" w:firstLine="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567"/>
        </w:trPr>
        <w:tc>
          <w:tcPr>
            <w:tcW w:w="1093" w:type="dxa"/>
            <w:vAlign w:val="center"/>
            <w:textDirection w:val="lrTb"/>
            <w:noWrap w:val="false"/>
          </w:tcPr>
          <w:p>
            <w:pPr>
              <w:pStyle w:val="924"/>
              <w:ind w:right="21" w:firstLine="0"/>
              <w:jc w:val="center"/>
              <w:spacing w:line="360" w:lineRule="auto"/>
              <w:shd w:val="clear" w:color="auto" w:fill="auto"/>
              <w:rPr>
                <w:rFonts w:hint="eastAsia" w:ascii="宋体" w:hAnsi="宋体" w:eastAsia="宋体" w:cs="宋体"/>
                <w:color w:val="auto"/>
                <w:szCs w:val="24"/>
                <w:highlight w:val="none"/>
              </w:rPr>
            </w:pPr>
            <w:r>
              <w:rPr>
                <w:rFonts w:hint="eastAsia" w:ascii="宋体" w:hAnsi="宋体" w:eastAsia="宋体" w:cs="宋体"/>
                <w:color w:val="auto"/>
                <w:sz w:val="24"/>
                <w:szCs w:val="24"/>
                <w:highlight w:val="none"/>
                <w:lang w:val="en-US" w:eastAsia="zh-CN"/>
              </w:rPr>
              <w:t xml:space="preserve">4</w:t>
            </w:r>
            <w:r/>
          </w:p>
        </w:tc>
        <w:tc>
          <w:tcPr>
            <w:tcW w:w="3091" w:type="dxa"/>
            <w:vAlign w:val="center"/>
            <w:textDirection w:val="lrTb"/>
            <w:noWrap w:val="false"/>
          </w:tcPr>
          <w:p>
            <w:pPr>
              <w:spacing w:line="360" w:lineRule="auto"/>
              <w:rPr>
                <w:rStyle w:val="967"/>
                <w:rFonts w:hint="eastAsia" w:ascii="宋体" w:hAnsi="宋体" w:eastAsia="宋体" w:cs="宋体"/>
                <w:color w:val="auto"/>
                <w:highlight w:val="none"/>
              </w:rPr>
            </w:pPr>
            <w:r>
              <w:rPr>
                <w:rFonts w:hint="eastAsia" w:ascii="宋体" w:hAnsi="宋体" w:eastAsia="宋体" w:cs="宋体"/>
                <w:color w:val="auto"/>
                <w:highlight w:val="none"/>
              </w:rPr>
            </w:r>
            <w:r/>
          </w:p>
        </w:tc>
        <w:tc>
          <w:tcPr>
            <w:tcW w:w="906" w:type="dxa"/>
            <w:vAlign w:val="center"/>
            <w:textDirection w:val="lrTb"/>
            <w:noWrap w:val="false"/>
          </w:tcPr>
          <w:p>
            <w:pPr>
              <w:pStyle w:val="924"/>
              <w:ind w:right="420" w:firstLine="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906" w:type="dxa"/>
            <w:vAlign w:val="center"/>
            <w:textDirection w:val="lrTb"/>
            <w:noWrap w:val="false"/>
          </w:tcPr>
          <w:p>
            <w:pPr>
              <w:pStyle w:val="924"/>
              <w:ind w:right="420" w:firstLine="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906" w:type="dxa"/>
            <w:vAlign w:val="center"/>
            <w:textDirection w:val="lrTb"/>
            <w:noWrap w:val="false"/>
          </w:tcPr>
          <w:p>
            <w:pPr>
              <w:pStyle w:val="924"/>
              <w:ind w:right="420" w:firstLine="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906" w:type="dxa"/>
            <w:vAlign w:val="center"/>
            <w:textDirection w:val="lrTb"/>
            <w:noWrap w:val="false"/>
          </w:tcPr>
          <w:p>
            <w:pPr>
              <w:pStyle w:val="924"/>
              <w:ind w:right="420" w:firstLine="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846" w:type="dxa"/>
            <w:vAlign w:val="center"/>
            <w:textDirection w:val="lrTb"/>
            <w:noWrap w:val="false"/>
          </w:tcPr>
          <w:p>
            <w:pPr>
              <w:pStyle w:val="924"/>
              <w:ind w:right="420" w:firstLine="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567"/>
        </w:trPr>
        <w:tc>
          <w:tcPr>
            <w:tcW w:w="1093" w:type="dxa"/>
            <w:vAlign w:val="center"/>
            <w:textDirection w:val="lrTb"/>
            <w:noWrap w:val="false"/>
          </w:tcPr>
          <w:p>
            <w:pPr>
              <w:pStyle w:val="924"/>
              <w:ind w:right="-94" w:firstLine="0"/>
              <w:jc w:val="both"/>
              <w:spacing w:line="360" w:lineRule="auto"/>
              <w:shd w:val="clear" w:color="auto" w:fill="auto"/>
              <w:rPr>
                <w:rFonts w:hint="eastAsia" w:ascii="宋体" w:hAnsi="宋体" w:eastAsia="宋体" w:cs="宋体"/>
                <w:color w:val="auto"/>
                <w:szCs w:val="24"/>
                <w:highlight w:val="none"/>
              </w:rPr>
            </w:pPr>
            <w:r>
              <w:rPr>
                <w:rFonts w:hint="eastAsia" w:ascii="宋体" w:hAnsi="宋体" w:eastAsia="宋体" w:cs="宋体"/>
                <w:color w:val="auto"/>
                <w:sz w:val="24"/>
                <w:szCs w:val="24"/>
                <w:highlight w:val="none"/>
                <w:lang w:val="en-US" w:eastAsia="zh-CN"/>
              </w:rPr>
              <w:t xml:space="preserve">......</w:t>
            </w:r>
            <w:r/>
          </w:p>
        </w:tc>
        <w:tc>
          <w:tcPr>
            <w:tcW w:w="3091" w:type="dxa"/>
            <w:vAlign w:val="center"/>
            <w:textDirection w:val="lrTb"/>
            <w:noWrap w:val="false"/>
          </w:tcPr>
          <w:p>
            <w:pPr>
              <w:pStyle w:val="924"/>
              <w:ind w:right="420" w:firstLine="0"/>
              <w:spacing w:line="360" w:lineRule="auto"/>
              <w:shd w:val="clear" w:color="auto" w:fil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906" w:type="dxa"/>
            <w:vAlign w:val="center"/>
            <w:textDirection w:val="lrTb"/>
            <w:noWrap w:val="false"/>
          </w:tcPr>
          <w:p>
            <w:pPr>
              <w:pStyle w:val="924"/>
              <w:ind w:right="420" w:firstLine="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906" w:type="dxa"/>
            <w:vAlign w:val="center"/>
            <w:textDirection w:val="lrTb"/>
            <w:noWrap w:val="false"/>
          </w:tcPr>
          <w:p>
            <w:pPr>
              <w:pStyle w:val="924"/>
              <w:ind w:right="420" w:firstLine="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906" w:type="dxa"/>
            <w:vAlign w:val="center"/>
            <w:textDirection w:val="lrTb"/>
            <w:noWrap w:val="false"/>
          </w:tcPr>
          <w:p>
            <w:pPr>
              <w:pStyle w:val="924"/>
              <w:ind w:right="420" w:firstLine="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906" w:type="dxa"/>
            <w:vAlign w:val="center"/>
            <w:textDirection w:val="lrTb"/>
            <w:noWrap w:val="false"/>
          </w:tcPr>
          <w:p>
            <w:pPr>
              <w:pStyle w:val="924"/>
              <w:ind w:right="420" w:firstLine="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846" w:type="dxa"/>
            <w:vAlign w:val="center"/>
            <w:textDirection w:val="lrTb"/>
            <w:noWrap w:val="false"/>
          </w:tcPr>
          <w:p>
            <w:pPr>
              <w:pStyle w:val="924"/>
              <w:ind w:right="420" w:firstLine="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567"/>
        </w:trPr>
        <w:tc>
          <w:tcPr>
            <w:gridSpan w:val="2"/>
            <w:tcW w:w="4184" w:type="dxa"/>
            <w:vAlign w:val="center"/>
            <w:textDirection w:val="lrTb"/>
            <w:noWrap w:val="false"/>
          </w:tcPr>
          <w:p>
            <w:pPr>
              <w:pStyle w:val="924"/>
              <w:ind w:right="420" w:firstLine="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合计金额</w:t>
            </w:r>
            <w:r/>
          </w:p>
        </w:tc>
        <w:tc>
          <w:tcPr>
            <w:gridSpan w:val="5"/>
            <w:tcW w:w="5470" w:type="dxa"/>
            <w:vAlign w:val="center"/>
            <w:textDirection w:val="lrTb"/>
            <w:noWrap w:val="false"/>
          </w:tcPr>
          <w:p>
            <w:pPr>
              <w:pStyle w:val="924"/>
              <w:ind w:right="420" w:firstLine="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人民币（大写）</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圆（¥（小写）</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元）</w:t>
            </w:r>
            <w:r/>
          </w:p>
        </w:tc>
      </w:tr>
    </w:tbl>
    <w:p>
      <w:pPr>
        <w:pStyle w:val="924"/>
        <w:ind w:left="0" w:right="420" w:firstLine="48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24"/>
        <w:ind w:left="0" w:right="420" w:firstLine="48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注：</w:t>
      </w:r>
      <w:r/>
    </w:p>
    <w:p>
      <w:pPr>
        <w:pStyle w:val="924"/>
        <w:ind w:left="0" w:right="420" w:firstLine="48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Cs w:val="24"/>
          <w:highlight w:val="none"/>
          <w:lang w:val="en-US" w:eastAsia="zh-CN"/>
        </w:rPr>
        <w:t xml:space="preserve">1、</w:t>
      </w:r>
      <w:r>
        <w:rPr>
          <w:rFonts w:hint="eastAsia" w:ascii="宋体" w:hAnsi="宋体" w:eastAsia="宋体" w:cs="宋体"/>
          <w:color w:val="auto"/>
          <w:sz w:val="24"/>
          <w:szCs w:val="24"/>
          <w:highlight w:val="none"/>
        </w:rPr>
        <w:t xml:space="preserve">各投标人应根据此表格式按项目分别填写报价详细清单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如</w:t>
      </w:r>
      <w:r>
        <w:rPr>
          <w:rFonts w:hint="eastAsia" w:ascii="宋体" w:hAnsi="宋体" w:eastAsia="宋体" w:cs="宋体"/>
          <w:color w:val="auto"/>
          <w:sz w:val="24"/>
          <w:szCs w:val="24"/>
          <w:highlight w:val="none"/>
          <w:lang w:val="en-US" w:eastAsia="zh-CN"/>
        </w:rPr>
        <w:t xml:space="preserve">表格内容不够</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可自行添加。</w:t>
      </w:r>
      <w:r/>
    </w:p>
    <w:p>
      <w:pPr>
        <w:pStyle w:val="924"/>
        <w:numPr>
          <w:ilvl w:val="0"/>
          <w:numId w:val="0"/>
        </w:numPr>
        <w:ind w:right="420" w:firstLine="48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2、</w:t>
      </w:r>
      <w:r>
        <w:rPr>
          <w:rFonts w:hint="eastAsia" w:ascii="宋体" w:hAnsi="宋体" w:eastAsia="宋体" w:cs="宋体"/>
          <w:color w:val="auto"/>
          <w:szCs w:val="24"/>
          <w:highlight w:val="none"/>
        </w:rPr>
        <w:t xml:space="preserve">投标人须对全部采购内容进行报价。如未按照本表规定提供或本表中合计金额与“开标一览表”投标总价不一致的按无效投标报价的投标文件处理。</w:t>
      </w:r>
      <w:r/>
    </w:p>
    <w:p>
      <w:pPr>
        <w:pStyle w:val="924"/>
        <w:ind w:left="0" w:right="420" w:firstLine="48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98"/>
        <w:ind w:firstLine="480"/>
        <w:spacing w:line="360" w:lineRule="auto"/>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w:t>
      </w:r>
      <w:r>
        <w:rPr>
          <w:rFonts w:hint="eastAsia" w:ascii="宋体" w:hAnsi="宋体" w:eastAsia="宋体" w:cs="宋体"/>
          <w:color w:val="auto"/>
          <w:sz w:val="24"/>
          <w:szCs w:val="24"/>
          <w:highlight w:val="none"/>
        </w:rPr>
        <w:t xml:space="preserve">（单位盖章）</w:t>
      </w:r>
      <w:r>
        <w:rPr>
          <w:rFonts w:hint="eastAsia" w:ascii="宋体" w:hAnsi="宋体" w:eastAsia="宋体" w:cs="宋体"/>
          <w:bCs/>
          <w:color w:val="auto"/>
          <w:sz w:val="24"/>
          <w:szCs w:val="24"/>
          <w:highlight w:val="none"/>
        </w:rPr>
        <w:t xml:space="preserve">：</w:t>
      </w:r>
      <w:r/>
    </w:p>
    <w:p>
      <w:pPr>
        <w:pStyle w:val="998"/>
        <w:spacing w:line="360" w:lineRule="auto"/>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法定代表人或代理人</w:t>
      </w:r>
      <w:r>
        <w:rPr>
          <w:rFonts w:hint="eastAsia" w:ascii="宋体" w:hAnsi="宋体" w:eastAsia="宋体" w:cs="宋体"/>
          <w:color w:val="auto"/>
          <w:sz w:val="24"/>
          <w:szCs w:val="24"/>
          <w:highlight w:val="none"/>
        </w:rPr>
        <w:t xml:space="preserve">（签字或盖章）</w:t>
      </w:r>
      <w:r>
        <w:rPr>
          <w:rFonts w:hint="eastAsia" w:ascii="宋体" w:hAnsi="宋体" w:eastAsia="宋体" w:cs="宋体"/>
          <w:bCs/>
          <w:color w:val="auto"/>
          <w:sz w:val="24"/>
          <w:szCs w:val="24"/>
          <w:highlight w:val="none"/>
        </w:rPr>
        <w:t xml:space="preserve">：</w:t>
      </w:r>
      <w:r/>
    </w:p>
    <w:p>
      <w:pPr>
        <w:pStyle w:val="998"/>
        <w:ind w:firstLine="480"/>
        <w:spacing w:line="360" w:lineRule="auto"/>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日期：     年     月     日</w:t>
      </w:r>
      <w:r/>
    </w:p>
    <w:p>
      <w:pPr>
        <w:pStyle w:val="924"/>
        <w:ind w:right="420" w:firstLine="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24"/>
        <w:ind w:right="420" w:firstLine="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24"/>
        <w:ind w:right="420" w:firstLine="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24"/>
        <w:ind w:right="420" w:firstLine="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24"/>
        <w:ind w:right="420" w:firstLine="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24"/>
        <w:ind w:right="420" w:firstLine="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24"/>
        <w:ind w:right="420" w:firstLine="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24"/>
        <w:ind w:right="420" w:firstLine="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24"/>
        <w:ind w:right="420" w:firstLine="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98"/>
        <w:ind w:firstLine="480"/>
        <w:spacing w:line="360" w:lineRule="auto"/>
        <w:shd w:val="clear" w:color="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p>
      <w:pPr>
        <w:pStyle w:val="998"/>
        <w:spacing w:line="360" w:lineRule="auto"/>
        <w:rPr>
          <w:rFonts w:hint="eastAsia" w:ascii="宋体" w:hAnsi="宋体" w:eastAsia="宋体" w:cs="宋体"/>
          <w:b w:val="0"/>
          <w:bCs w:val="0"/>
          <w:color w:val="auto"/>
          <w:sz w:val="24"/>
          <w:szCs w:val="24"/>
          <w:highlight w:val="none"/>
          <w:lang w:val="en-US" w:eastAsia="zh-CN"/>
        </w:rPr>
        <w:sectPr>
          <w:footnotePr/>
          <w:endnotePr/>
          <w:type w:val="nextPage"/>
          <w:pgSz w:w="11906" w:h="16838" w:orient="portrait"/>
          <w:pgMar w:top="1134" w:right="1134" w:bottom="1134" w:left="1134" w:header="851" w:footer="992" w:gutter="0"/>
          <w:cols w:num="1" w:sep="0" w:space="720" w:equalWidth="1"/>
          <w:docGrid w:linePitch="360"/>
        </w:sectPr>
      </w:pPr>
      <w:r>
        <w:rPr>
          <w:rFonts w:hint="eastAsia" w:ascii="宋体" w:hAnsi="宋体" w:eastAsia="宋体" w:cs="宋体"/>
          <w:b w:val="0"/>
          <w:bCs w:val="0"/>
          <w:color w:val="auto"/>
          <w:sz w:val="24"/>
          <w:szCs w:val="24"/>
          <w:highlight w:val="none"/>
          <w:lang w:val="en-US" w:eastAsia="zh-CN"/>
        </w:rPr>
      </w:r>
      <w:r/>
    </w:p>
    <w:p>
      <w:pPr>
        <w:pStyle w:val="998"/>
        <w:spacing w:line="360" w:lineRule="auto"/>
        <w:rPr>
          <w:rFonts w:hint="eastAsia" w:ascii="宋体" w:hAnsi="宋体" w:eastAsia="宋体" w:cs="宋体"/>
          <w:b/>
          <w:color w:val="auto"/>
          <w:sz w:val="24"/>
          <w:szCs w:val="24"/>
          <w:highlight w:val="none"/>
          <w:lang w:val="zh-CN"/>
        </w:rPr>
      </w:pPr>
      <w:r>
        <w:rPr>
          <w:rFonts w:hint="eastAsia" w:hAnsi="宋体" w:eastAsia="宋体" w:cs="宋体"/>
          <w:b w:val="0"/>
          <w:bCs w:val="0"/>
          <w:color w:val="auto"/>
          <w:sz w:val="24"/>
          <w:szCs w:val="24"/>
          <w:highlight w:val="none"/>
          <w:lang w:val="en-US" w:eastAsia="zh-CN"/>
        </w:rPr>
        <w:t xml:space="preserve">6</w:t>
      </w:r>
      <w:r>
        <w:rPr>
          <w:rFonts w:hint="eastAsia" w:ascii="宋体" w:hAnsi="宋体" w:eastAsia="宋体" w:cs="宋体"/>
          <w:b w:val="0"/>
          <w:bCs w:val="0"/>
          <w:color w:val="auto"/>
          <w:sz w:val="24"/>
          <w:szCs w:val="24"/>
          <w:highlight w:val="none"/>
        </w:rPr>
        <w:t xml:space="preserve">、中小企业声明函</w:t>
      </w:r>
      <w:r/>
    </w:p>
    <w:p>
      <w:pPr>
        <w:pStyle w:val="931"/>
        <w:ind w:left="0" w:right="130" w:firstLine="480"/>
        <w:spacing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本公司</w:t>
      </w:r>
      <w:r>
        <w:rPr>
          <w:rFonts w:hint="eastAsia" w:ascii="宋体" w:hAnsi="宋体" w:eastAsia="宋体" w:cs="宋体"/>
          <w:color w:val="auto"/>
          <w:sz w:val="24"/>
          <w:szCs w:val="24"/>
          <w:highlight w:val="none"/>
          <w:u w:val="single"/>
          <w:lang w:val="zh-CN"/>
        </w:rPr>
        <w:t xml:space="preserve">（联合体）</w:t>
      </w:r>
      <w:r>
        <w:rPr>
          <w:rFonts w:hint="eastAsia" w:ascii="宋体" w:hAnsi="宋体" w:eastAsia="宋体" w:cs="宋体"/>
          <w:color w:val="auto"/>
          <w:sz w:val="24"/>
          <w:szCs w:val="24"/>
          <w:highlight w:val="none"/>
        </w:rPr>
        <w:t xml:space="preserve">郑重声明</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根据《政府采购促进中小企业发展管理办法》（财库﹝2020﹞46 号）的规定</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本公司</w:t>
      </w:r>
      <w:r>
        <w:rPr>
          <w:rFonts w:hint="eastAsia" w:ascii="宋体" w:hAnsi="宋体" w:eastAsia="宋体" w:cs="宋体"/>
          <w:color w:val="auto"/>
          <w:sz w:val="24"/>
          <w:szCs w:val="24"/>
          <w:highlight w:val="none"/>
          <w:u w:val="single"/>
          <w:lang w:val="zh-CN"/>
        </w:rPr>
        <w:t xml:space="preserve">（联合体）</w:t>
      </w:r>
      <w:r>
        <w:rPr>
          <w:rFonts w:hint="eastAsia" w:ascii="宋体" w:hAnsi="宋体" w:eastAsia="宋体" w:cs="宋体"/>
          <w:color w:val="auto"/>
          <w:sz w:val="24"/>
          <w:szCs w:val="24"/>
          <w:highlight w:val="none"/>
        </w:rPr>
        <w:t xml:space="preserve">参加</w:t>
      </w:r>
      <w:r>
        <w:rPr>
          <w:rFonts w:hint="eastAsia" w:ascii="宋体" w:hAnsi="宋体" w:eastAsia="宋体" w:cs="宋体"/>
          <w:color w:val="auto"/>
          <w:sz w:val="24"/>
          <w:szCs w:val="24"/>
          <w:highlight w:val="none"/>
          <w:u w:val="single"/>
        </w:rPr>
        <w:t xml:space="preserve"> （单位名称）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（项目名称）  </w:t>
      </w:r>
      <w:r>
        <w:rPr>
          <w:rFonts w:hint="eastAsia" w:ascii="宋体" w:hAnsi="宋体" w:eastAsia="宋体" w:cs="宋体"/>
          <w:color w:val="auto"/>
          <w:sz w:val="24"/>
          <w:szCs w:val="24"/>
          <w:highlight w:val="none"/>
        </w:rPr>
        <w:t xml:space="preserve">采购活动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服务全部由符合政策要求的中小企业承接。相关企业（含联合体中的中小企业、签订分包意向协议的中小企业）的具体情况如下：</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（标的名称）</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（招标文件中明确的所属行业）</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承接</w:t>
      </w:r>
      <w:r>
        <w:rPr>
          <w:rFonts w:hint="eastAsia" w:ascii="宋体" w:hAnsi="宋体" w:eastAsia="宋体" w:cs="宋体"/>
          <w:color w:val="auto"/>
          <w:sz w:val="24"/>
          <w:szCs w:val="24"/>
          <w:highlight w:val="none"/>
        </w:rPr>
        <w:t xml:space="preserve">企业为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（中型企业、小型企业、微型企业）</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rPr>
        <w:t xml:space="preserve">（标的名称）</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（招标文件中明确的所属行业）</w:t>
      </w:r>
      <w:r>
        <w:rPr>
          <w:rFonts w:hint="eastAsia" w:ascii="宋体" w:hAnsi="宋体" w:eastAsia="宋体" w:cs="宋体"/>
          <w:color w:val="auto"/>
          <w:sz w:val="24"/>
          <w:szCs w:val="24"/>
          <w:highlight w:val="none"/>
        </w:rPr>
        <w:t xml:space="preserve">；承</w:t>
      </w:r>
      <w:r>
        <w:rPr>
          <w:rFonts w:hint="eastAsia" w:ascii="宋体" w:hAnsi="宋体" w:eastAsia="宋体" w:cs="宋体"/>
          <w:color w:val="auto"/>
          <w:sz w:val="24"/>
          <w:szCs w:val="24"/>
          <w:highlight w:val="none"/>
          <w:lang w:val="en-US" w:eastAsia="zh-CN"/>
        </w:rPr>
        <w:t xml:space="preserve">接</w:t>
      </w:r>
      <w:r>
        <w:rPr>
          <w:rFonts w:hint="eastAsia" w:ascii="宋体" w:hAnsi="宋体" w:eastAsia="宋体" w:cs="宋体"/>
          <w:color w:val="auto"/>
          <w:sz w:val="24"/>
          <w:szCs w:val="24"/>
          <w:highlight w:val="none"/>
        </w:rPr>
        <w:t xml:space="preserve">企业为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（中型企业、小型企业、微型企业）</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不属于大企业的分支机构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不存在控股股东为大企业的情形</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也不存在与大企业的负责人为同一人的情形。</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将依法承担相应责任。</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企业名称（盖章）：</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ind w:firstLine="482"/>
        <w:jc w:val="left"/>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备注：</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zh-CN"/>
        </w:rPr>
        <w:t xml:space="preserve">从业人员、营业收入、资产总额填报上一年度数据，无上一年度数据的新成立企业可不填报；</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rPr>
        <w:t xml:space="preserve">若供应商未在此函中对（中型企业、小型企业、微型企业）明确选择，视为非中小企业，不享受中小企业扶持政策；</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zh-CN"/>
        </w:rPr>
        <w:t xml:space="preserve">若供应商提供的“中小企业声明函”内容不实的，属于提供虚假材料谋取中标、成交，依照《中华人民共和国政府采购法》等国家有关规定追究相应责任。</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360" w:lineRule="auto"/>
        <w:shd w:val="clear" w:color="auto"/>
        <w:rPr>
          <w:rFonts w:hint="eastAsia" w:ascii="宋体" w:hAnsi="宋体" w:eastAsia="宋体" w:cs="宋体"/>
          <w:b/>
          <w:color w:val="auto"/>
          <w:sz w:val="24"/>
          <w:szCs w:val="24"/>
          <w:highlight w:val="none"/>
        </w:rPr>
        <w:outlineLvl w:val="0"/>
      </w:pPr>
      <w:r>
        <w:rPr>
          <w:rFonts w:hint="eastAsia" w:ascii="宋体" w:hAnsi="宋体" w:eastAsia="宋体" w:cs="宋体"/>
          <w:color w:val="auto"/>
          <w:sz w:val="24"/>
          <w:szCs w:val="24"/>
          <w:highlight w:val="none"/>
          <w:lang w:val="en-US" w:eastAsia="zh-CN"/>
        </w:rPr>
        <w:t xml:space="preserve">5、中标供应商为中小企业的，《中小企业声明函》将随中标结果同时公告。</w:t>
      </w:r>
      <w:r>
        <w:rPr>
          <w:rFonts w:hint="eastAsia" w:ascii="宋体" w:hAnsi="宋体" w:eastAsia="宋体" w:cs="宋体"/>
          <w:color w:val="auto"/>
          <w:sz w:val="24"/>
          <w:szCs w:val="24"/>
          <w:highlight w:val="none"/>
          <w:lang w:val="en-US" w:eastAsia="zh-CN"/>
        </w:rPr>
        <w:br w:type="page" w:clear="all"/>
      </w:r>
      <w:r>
        <w:rPr>
          <w:rFonts w:hint="eastAsia" w:ascii="宋体" w:hAnsi="宋体" w:eastAsia="宋体" w:cs="宋体"/>
          <w:b/>
          <w:color w:val="auto"/>
          <w:sz w:val="24"/>
          <w:szCs w:val="24"/>
          <w:highlight w:val="none"/>
        </w:rPr>
        <w:t xml:space="preserve">附：中小企业划型标准规定</w:t>
      </w:r>
      <w:r/>
    </w:p>
    <w:p>
      <w:pPr>
        <w:ind w:left="0" w:firstLine="48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（一）农、林、牧、渔业。</w:t>
      </w:r>
      <w:r>
        <w:rPr>
          <w:rFonts w:hint="eastAsia" w:ascii="宋体" w:hAnsi="宋体" w:eastAsia="宋体" w:cs="宋体"/>
          <w:color w:val="auto"/>
          <w:sz w:val="24"/>
          <w:szCs w:val="24"/>
          <w:highlight w:val="none"/>
        </w:rPr>
        <w:t xml:space="preserve">营业收入20000万元以下的为中小微型企业。其中</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营业收入500万元及以上的为中型企业</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营业收入50万元及以上的为小型企业</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营业收入50万元以下的为微型企业。</w:t>
      </w:r>
      <w:r/>
    </w:p>
    <w:p>
      <w:pPr>
        <w:ind w:left="0" w:firstLine="48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（二）工业。</w:t>
      </w:r>
      <w:r>
        <w:rPr>
          <w:rFonts w:hint="eastAsia" w:ascii="宋体" w:hAnsi="宋体" w:eastAsia="宋体" w:cs="宋体"/>
          <w:color w:val="auto"/>
          <w:sz w:val="24"/>
          <w:szCs w:val="24"/>
          <w:highlight w:val="none"/>
        </w:rPr>
        <w:t xml:space="preserve">从业人员1000人以下或营业收入40000万元以下的为中小微型企业。其中</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从业人员300人及以上</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且营业收入2000万元及以上的为中型企业；从业人员20人及以上</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且营业收入300万元及以上的为小型企业；从业人员20人以下或营业收入300万元以下的为微型企业。</w:t>
      </w:r>
      <w:r/>
    </w:p>
    <w:p>
      <w:pPr>
        <w:ind w:left="0" w:firstLine="48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（三）建筑业。</w:t>
      </w:r>
      <w:r>
        <w:rPr>
          <w:rFonts w:hint="eastAsia" w:ascii="宋体" w:hAnsi="宋体" w:eastAsia="宋体" w:cs="宋体"/>
          <w:color w:val="auto"/>
          <w:sz w:val="24"/>
          <w:szCs w:val="24"/>
          <w:highlight w:val="none"/>
        </w:rPr>
        <w:t xml:space="preserve">营业收入80000万元以下或资产总额80000万元以下的为中小微型企业。其中</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营业收入6000万元及以上</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且资产总额5000万元及以上的为中型企业；营业收入300万元及以上</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且资产总额300万元及以上的为小型企业；营业收入300万元以下或资产总额300万元以下的为微型企业。</w:t>
      </w:r>
      <w:r/>
    </w:p>
    <w:p>
      <w:pPr>
        <w:ind w:left="0" w:firstLine="48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（四）批发业。</w:t>
      </w:r>
      <w:r>
        <w:rPr>
          <w:rFonts w:hint="eastAsia" w:ascii="宋体" w:hAnsi="宋体" w:eastAsia="宋体" w:cs="宋体"/>
          <w:color w:val="auto"/>
          <w:sz w:val="24"/>
          <w:szCs w:val="24"/>
          <w:highlight w:val="none"/>
        </w:rPr>
        <w:t xml:space="preserve">从业人员200人以下或营业收入40000万元以下的为中小微型企业。其中</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从业人员20人及以上</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且营业收入5000万元及以上的为中型企业；从业人员5人及以上</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且营业收入1000万元及以上的为小型企业；从业人员5人以下或营业收入1000万元以下的为微型企业。</w:t>
      </w:r>
      <w:r/>
    </w:p>
    <w:p>
      <w:pPr>
        <w:ind w:left="0" w:firstLine="48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（五）零售业。</w:t>
      </w:r>
      <w:r>
        <w:rPr>
          <w:rFonts w:hint="eastAsia" w:ascii="宋体" w:hAnsi="宋体" w:eastAsia="宋体" w:cs="宋体"/>
          <w:color w:val="auto"/>
          <w:sz w:val="24"/>
          <w:szCs w:val="24"/>
          <w:highlight w:val="none"/>
        </w:rPr>
        <w:t xml:space="preserve">从业人员300人以下或营业收入20000万元以下的为中小微型企业。其中</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从业人员50人及以上</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且营业收入500万元及以上的为中型企业；从业人员10人及以上</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且营业收入100万元及以上的为小型企业；从业人员10人以下或营业收入100万元以下的为微型企业。</w:t>
      </w:r>
      <w:r/>
    </w:p>
    <w:p>
      <w:pPr>
        <w:ind w:left="0" w:firstLine="48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（六）交通运输业。</w:t>
      </w:r>
      <w:r>
        <w:rPr>
          <w:rFonts w:hint="eastAsia" w:ascii="宋体" w:hAnsi="宋体" w:eastAsia="宋体" w:cs="宋体"/>
          <w:color w:val="auto"/>
          <w:sz w:val="24"/>
          <w:szCs w:val="24"/>
          <w:highlight w:val="none"/>
        </w:rPr>
        <w:t xml:space="preserve">从业人员1000人以下或营业收入30000万元以下的为中小微型企业。其中</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从业人员300人及以上</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且营业收入3000万元及以上的为中型企业；从业人员20人及以上</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且营业收入200万元及以上的为小型企业；从业人员20人以下或营业收入200万元以下的为微型企业。</w:t>
      </w:r>
      <w:r/>
    </w:p>
    <w:p>
      <w:pPr>
        <w:ind w:left="0" w:firstLine="48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（七）仓储业。</w:t>
      </w:r>
      <w:r>
        <w:rPr>
          <w:rFonts w:hint="eastAsia" w:ascii="宋体" w:hAnsi="宋体" w:eastAsia="宋体" w:cs="宋体"/>
          <w:color w:val="auto"/>
          <w:sz w:val="24"/>
          <w:szCs w:val="24"/>
          <w:highlight w:val="none"/>
        </w:rPr>
        <w:t xml:space="preserve">从业人员200人以下或营业收入30000万元以下的为中小微型企业。其中</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从业人员100人及以上</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且营业收入1000万元及以上的为中型企业；从业人员20人及以上</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且营业收入100万元及以上的为小型企业；从业人员20人以下或营业收入100万元以下的为微型企业。</w:t>
      </w:r>
      <w:r/>
    </w:p>
    <w:p>
      <w:pPr>
        <w:ind w:left="0" w:firstLine="48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（八）邮政业。</w:t>
      </w:r>
      <w:r>
        <w:rPr>
          <w:rFonts w:hint="eastAsia" w:ascii="宋体" w:hAnsi="宋体" w:eastAsia="宋体" w:cs="宋体"/>
          <w:color w:val="auto"/>
          <w:sz w:val="24"/>
          <w:szCs w:val="24"/>
          <w:highlight w:val="none"/>
        </w:rPr>
        <w:t xml:space="preserve">从业人员1000人以下或营业收入30000万元以下的为中小微型企业。其中</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从业人员300人及以上</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且营业收入2000万元及以上的为中型企业；从业人员20人及以上</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且营业收入100万元及以上的为小型企业；从业人员20人以下或营业收入100万元以下的为微型企业。</w:t>
      </w:r>
      <w:r/>
    </w:p>
    <w:p>
      <w:pPr>
        <w:ind w:left="0" w:firstLine="48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（九）住宿业。</w:t>
      </w:r>
      <w:r>
        <w:rPr>
          <w:rFonts w:hint="eastAsia" w:ascii="宋体" w:hAnsi="宋体" w:eastAsia="宋体" w:cs="宋体"/>
          <w:color w:val="auto"/>
          <w:sz w:val="24"/>
          <w:szCs w:val="24"/>
          <w:highlight w:val="none"/>
        </w:rPr>
        <w:t xml:space="preserve">从业人员300人以下或营业收入10000万元以下的为中小微型企业。其中</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从业人员100人及以上</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且营业收入2000万元及以上的为中型企业；从业人员10人及以上</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且营业收入100万元及以上的为小型企业；从业人员10人以下或营业收入100万元以下的为微型企业。</w:t>
      </w:r>
      <w:r/>
    </w:p>
    <w:p>
      <w:pPr>
        <w:ind w:left="0" w:firstLine="48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（十）餐饮业。</w:t>
      </w:r>
      <w:r>
        <w:rPr>
          <w:rFonts w:hint="eastAsia" w:ascii="宋体" w:hAnsi="宋体" w:eastAsia="宋体" w:cs="宋体"/>
          <w:color w:val="auto"/>
          <w:sz w:val="24"/>
          <w:szCs w:val="24"/>
          <w:highlight w:val="none"/>
        </w:rPr>
        <w:t xml:space="preserve">从业人员300人以下或营业收入10000万元以下的为中小微型企业。其中</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从业人员100人及以上</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且营业收入2000万元及以上的为中型企业；从业人员10人及以上</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且营业收入100万元及以上的为小型企业；从业人员10人以下或营业收入100万元以下的为微型企业。</w:t>
      </w:r>
      <w:r/>
    </w:p>
    <w:p>
      <w:pPr>
        <w:ind w:left="0" w:firstLine="48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（十一）信息传输业。</w:t>
      </w:r>
      <w:r>
        <w:rPr>
          <w:rFonts w:hint="eastAsia" w:ascii="宋体" w:hAnsi="宋体" w:eastAsia="宋体" w:cs="宋体"/>
          <w:color w:val="auto"/>
          <w:sz w:val="24"/>
          <w:szCs w:val="24"/>
          <w:highlight w:val="none"/>
        </w:rPr>
        <w:t xml:space="preserve">从业人员2000人以下或营业收入100000万元以下的为中小微型企业。其中</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从业人员100人及以上</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且营业收入1000万元及以上的为中型企业；从业人员10人及以上</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且营业收入100万元及以上的为小型企业；从业人员10人以下或营业收入100万元以下的为微型企业。</w:t>
      </w:r>
      <w:r/>
    </w:p>
    <w:p>
      <w:pPr>
        <w:ind w:left="0" w:firstLine="48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（十二）软件和信息技术服务业。</w:t>
      </w:r>
      <w:r>
        <w:rPr>
          <w:rFonts w:hint="eastAsia" w:ascii="宋体" w:hAnsi="宋体" w:eastAsia="宋体" w:cs="宋体"/>
          <w:color w:val="auto"/>
          <w:sz w:val="24"/>
          <w:szCs w:val="24"/>
          <w:highlight w:val="none"/>
        </w:rPr>
        <w:t xml:space="preserve">从业人员300人以下或营业收入10000万元以下的为中小微型企业。其中</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从业人员100人及以上</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且营业收入1000万元及以上的为中型企业；从业人员10人及以上</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且营业收入50万元及以上的为小型企业；从业人员10人以下或营业收入50万元以下的为微型企业。</w:t>
      </w:r>
      <w:r/>
    </w:p>
    <w:p>
      <w:pPr>
        <w:ind w:left="0" w:firstLine="48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（十三）房地产开发经营。</w:t>
      </w:r>
      <w:r>
        <w:rPr>
          <w:rFonts w:hint="eastAsia" w:ascii="宋体" w:hAnsi="宋体" w:eastAsia="宋体" w:cs="宋体"/>
          <w:color w:val="auto"/>
          <w:sz w:val="24"/>
          <w:szCs w:val="24"/>
          <w:highlight w:val="none"/>
        </w:rPr>
        <w:t xml:space="preserve">营业收入200000万元以下或资产总额10000万元以下的为中小微型企业。其中</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营业收入1000万元及以上</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且资产总额5000万元及以上的为中型企业；营业收入100万元及以上</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且资产总额2000万元及以上的为小型企业；营业收入100万元以下或资产总额2000万元以下的为微型企业。</w:t>
      </w:r>
      <w:r/>
    </w:p>
    <w:p>
      <w:pPr>
        <w:ind w:left="0" w:firstLine="48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（十四）物业管理。</w:t>
      </w:r>
      <w:r>
        <w:rPr>
          <w:rFonts w:hint="eastAsia" w:ascii="宋体" w:hAnsi="宋体" w:eastAsia="宋体" w:cs="宋体"/>
          <w:color w:val="auto"/>
          <w:sz w:val="24"/>
          <w:szCs w:val="24"/>
          <w:highlight w:val="none"/>
        </w:rPr>
        <w:t xml:space="preserve">从业人员1000人以下或营业收入5000万元以下的为中小微型企业。其中</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从业人员</w:t>
      </w:r>
      <w:r/>
    </w:p>
    <w:p>
      <w:pPr>
        <w:ind w:left="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300人及以上</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且营业收入1000万元及以上的为中型企业；从业人员100人及以上</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且营业收入500万元及以上的为小型企业；从业人员100人以下或营业收入500万元以下的为微型企业。</w:t>
      </w:r>
      <w:r/>
    </w:p>
    <w:p>
      <w:pPr>
        <w:ind w:left="0" w:firstLine="48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（十五）租赁和商务服务业。</w:t>
      </w:r>
      <w:r>
        <w:rPr>
          <w:rFonts w:hint="eastAsia" w:ascii="宋体" w:hAnsi="宋体" w:eastAsia="宋体" w:cs="宋体"/>
          <w:color w:val="auto"/>
          <w:sz w:val="24"/>
          <w:szCs w:val="24"/>
          <w:highlight w:val="none"/>
        </w:rPr>
        <w:t xml:space="preserve">从业人员300人以下或资产总额120000万元以下的为中小微型企业。其中</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从业人员100人及以上</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且资产总额8000万元及以上的为中型企业；从业人员10人及以上</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且资产总额100万元及以上的为小型企业；从业人员10人以下或资产总额100万元以下的为微型企业。</w:t>
      </w:r>
      <w:r/>
    </w:p>
    <w:p>
      <w:pPr>
        <w:ind w:left="0" w:firstLine="48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（十六）其他未列明行业。</w:t>
      </w:r>
      <w:r>
        <w:rPr>
          <w:rFonts w:hint="eastAsia" w:ascii="宋体" w:hAnsi="宋体" w:eastAsia="宋体" w:cs="宋体"/>
          <w:color w:val="auto"/>
          <w:sz w:val="24"/>
          <w:szCs w:val="24"/>
          <w:highlight w:val="none"/>
        </w:rPr>
        <w:t xml:space="preserve">从业人员300人以下的为中小微型企业。其中</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从业人员100人及以上的为中型企业；从业人员10人及以上的为小型企业；从业人员10人以下的为微型企业。</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sectPr>
          <w:footnotePr/>
          <w:endnotePr/>
          <w:type w:val="nextPage"/>
          <w:pgSz w:w="11906" w:h="16838" w:orient="portrait"/>
          <w:pgMar w:top="1134" w:right="1134" w:bottom="1134" w:left="1134" w:header="851" w:footer="992" w:gutter="0"/>
          <w:cols w:num="1" w:sep="0" w:space="720" w:equalWidth="1"/>
          <w:docGrid w:linePitch="360"/>
        </w:sectPr>
      </w:pPr>
      <w:r>
        <w:rPr>
          <w:rFonts w:hint="eastAsia" w:ascii="宋体" w:hAnsi="宋体" w:eastAsia="宋体" w:cs="宋体"/>
          <w:color w:val="auto"/>
          <w:sz w:val="24"/>
          <w:szCs w:val="24"/>
          <w:highlight w:val="none"/>
          <w:lang w:val="en-US" w:eastAsia="zh-CN"/>
        </w:rPr>
      </w:r>
      <w:r/>
    </w:p>
    <w:p>
      <w:pPr>
        <w:spacing w:line="360" w:lineRule="auto"/>
        <w:shd w:val="clear" w:color="auto"/>
        <w:rPr>
          <w:rFonts w:hint="eastAsia" w:ascii="宋体" w:hAnsi="宋体" w:eastAsia="宋体" w:cs="宋体"/>
          <w:b w:val="0"/>
          <w:bCs w:val="0"/>
          <w:color w:val="auto"/>
          <w:sz w:val="24"/>
          <w:szCs w:val="24"/>
          <w:highlight w:val="none"/>
        </w:rPr>
        <w:outlineLvl w:val="0"/>
      </w:pPr>
      <w:r>
        <w:rPr>
          <w:rFonts w:hint="eastAsia" w:ascii="宋体" w:hAnsi="宋体" w:eastAsia="宋体" w:cs="宋体"/>
          <w:b w:val="0"/>
          <w:bCs w:val="0"/>
          <w:color w:val="auto"/>
          <w:sz w:val="24"/>
          <w:szCs w:val="24"/>
          <w:highlight w:val="none"/>
          <w:lang w:val="en-US" w:eastAsia="zh-CN"/>
        </w:rPr>
        <w:t xml:space="preserve">7</w:t>
      </w:r>
      <w:r>
        <w:rPr>
          <w:rFonts w:hint="eastAsia" w:ascii="宋体" w:hAnsi="宋体" w:eastAsia="宋体" w:cs="宋体"/>
          <w:b w:val="0"/>
          <w:bCs w:val="0"/>
          <w:color w:val="auto"/>
          <w:sz w:val="24"/>
          <w:szCs w:val="24"/>
          <w:highlight w:val="none"/>
        </w:rPr>
        <w:t xml:space="preserve">、残疾人福利性单位声明函</w:t>
      </w:r>
      <w:r/>
    </w:p>
    <w:p>
      <w:pPr>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本单位郑重声明</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根据《财政部  民政部  中国残疾人联合会关于促进残疾人就业政府采购政策的通知》（财库〔2017〕141号）的规定</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本单位为符合条件的残疾人福利性单位</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且本单位参加</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单位的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项目采购活动提供本单位制造的货物（由本单位承担工程/提供服务）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或者提供其他残疾人福利性单位制造的货物（不包括使用非残疾人福利性单位注册商标的货物）。</w:t>
      </w:r>
      <w:r/>
    </w:p>
    <w:p>
      <w:pPr>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本单位对上述声明的真实性负责。如有虚假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将依法承担相应责任。</w:t>
      </w:r>
      <w:r/>
    </w:p>
    <w:p>
      <w:pPr>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（单位公章）：</w:t>
      </w:r>
      <w:r/>
    </w:p>
    <w:p>
      <w:pPr>
        <w:ind w:firstLine="42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shd w:val="clear" w:color="auto"/>
        <w:rPr>
          <w:rFonts w:hint="eastAsia" w:ascii="宋体" w:hAnsi="宋体" w:eastAsia="宋体" w:cs="宋体"/>
          <w:b w:val="0"/>
          <w:bCs w:val="0"/>
          <w:color w:val="auto"/>
          <w:sz w:val="24"/>
          <w:szCs w:val="24"/>
          <w:highlight w:val="none"/>
          <w:lang w:val="en-US" w:eastAsia="zh-CN"/>
        </w:rPr>
        <w:outlineLvl w:val="0"/>
      </w:pPr>
      <w:r>
        <w:rPr>
          <w:rFonts w:hint="eastAsia" w:ascii="宋体" w:hAnsi="宋体" w:eastAsia="宋体" w:cs="宋体"/>
          <w:b w:val="0"/>
          <w:bCs w:val="0"/>
          <w:color w:val="auto"/>
          <w:sz w:val="24"/>
          <w:szCs w:val="24"/>
          <w:highlight w:val="none"/>
          <w:lang w:val="en-US" w:eastAsia="zh-CN"/>
        </w:rPr>
      </w:r>
      <w:r/>
    </w:p>
    <w:p>
      <w:pP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sectPr>
          <w:footnotePr/>
          <w:endnotePr/>
          <w:type w:val="nextPage"/>
          <w:pgSz w:w="11906" w:h="16838" w:orient="portrait"/>
          <w:pgMar w:top="1134" w:right="1134" w:bottom="1134" w:left="1134" w:header="851" w:footer="992" w:gutter="0"/>
          <w:cols w:num="1" w:sep="0" w:space="720" w:equalWidth="1"/>
          <w:docGrid w:linePitch="360"/>
        </w:sectPr>
      </w:pPr>
      <w:r>
        <w:rPr>
          <w:rFonts w:hint="eastAsia" w:ascii="宋体" w:hAnsi="宋体" w:eastAsia="宋体" w:cs="宋体"/>
          <w:color w:val="auto"/>
          <w:sz w:val="24"/>
          <w:szCs w:val="24"/>
          <w:highlight w:val="none"/>
          <w:lang w:val="en-US" w:eastAsia="zh-CN"/>
        </w:rPr>
      </w:r>
      <w:r/>
    </w:p>
    <w:p>
      <w:pPr>
        <w:jc w:val="center"/>
        <w:spacing w:line="360" w:lineRule="auto"/>
        <w:shd w:val="clear" w:color="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rPr>
        <w:t xml:space="preserve">第四章 </w:t>
      </w:r>
      <w:r>
        <w:rPr>
          <w:rFonts w:hint="eastAsia" w:ascii="宋体" w:hAnsi="宋体" w:eastAsia="宋体" w:cs="宋体"/>
          <w:b/>
          <w:color w:val="auto"/>
          <w:sz w:val="24"/>
          <w:szCs w:val="24"/>
          <w:highlight w:val="none"/>
          <w:lang w:val="en-US" w:eastAsia="zh-CN"/>
        </w:rPr>
        <w:t xml:space="preserve">采购需求</w:t>
      </w:r>
      <w:r/>
    </w:p>
    <w:p>
      <w:pPr>
        <w:ind w:firstLine="480"/>
        <w:spacing w:line="360" w:lineRule="auto"/>
        <w:shd w:val="clear" w:color="auto"/>
        <w:rPr>
          <w:rFonts w:hint="eastAsia" w:ascii="宋体" w:hAnsi="宋体" w:eastAsia="宋体" w:cs="宋体"/>
          <w:color w:val="auto"/>
          <w:sz w:val="24"/>
          <w:szCs w:val="24"/>
          <w:highlight w:val="none"/>
        </w:rPr>
      </w:pPr>
      <w:r/>
      <w:bookmarkStart w:id="11" w:name="_Toc13642116"/>
      <w:r>
        <w:rPr>
          <w:rFonts w:hint="eastAsia" w:ascii="宋体" w:hAnsi="宋体" w:eastAsia="宋体" w:cs="宋体"/>
          <w:color w:val="auto"/>
          <w:sz w:val="24"/>
          <w:szCs w:val="24"/>
          <w:highlight w:val="none"/>
        </w:rPr>
        <w:t xml:space="preserve">苏州正杰招投标咨询服务有限公司受</w:t>
      </w:r>
      <w:r>
        <w:rPr>
          <w:rFonts w:hint="eastAsia" w:ascii="宋体" w:hAnsi="宋体" w:eastAsia="宋体" w:cs="宋体"/>
          <w:color w:val="auto"/>
          <w:sz w:val="24"/>
          <w:szCs w:val="24"/>
          <w:highlight w:val="none"/>
          <w:lang w:eastAsia="zh-CN"/>
        </w:rPr>
        <w:t xml:space="preserve">苏州市文物保护管理所</w:t>
      </w:r>
      <w:r>
        <w:rPr>
          <w:rFonts w:hint="eastAsia" w:ascii="宋体" w:hAnsi="宋体" w:eastAsia="宋体" w:cs="宋体"/>
          <w:color w:val="auto"/>
          <w:sz w:val="24"/>
          <w:szCs w:val="24"/>
          <w:highlight w:val="none"/>
        </w:rPr>
        <w:t xml:space="preserve">的委托</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就其所需的</w:t>
      </w:r>
      <w:r>
        <w:rPr>
          <w:rFonts w:hint="eastAsia" w:ascii="宋体" w:hAnsi="宋体" w:eastAsia="宋体" w:cs="宋体"/>
          <w:color w:val="auto"/>
          <w:sz w:val="24"/>
          <w:szCs w:val="24"/>
          <w:highlight w:val="none"/>
          <w:lang w:eastAsia="zh-CN"/>
        </w:rPr>
        <w:t xml:space="preserve">苏州市轨道交通沿线文物安全监测</w:t>
      </w:r>
      <w:r>
        <w:rPr>
          <w:rFonts w:hint="eastAsia" w:ascii="宋体" w:hAnsi="宋体" w:eastAsia="宋体" w:cs="宋体"/>
          <w:color w:val="auto"/>
          <w:sz w:val="24"/>
          <w:szCs w:val="24"/>
          <w:highlight w:val="none"/>
          <w:lang w:val="en-US" w:eastAsia="zh-CN"/>
        </w:rPr>
        <w:t xml:space="preserve">项目</w:t>
      </w:r>
      <w:r>
        <w:rPr>
          <w:rFonts w:hint="eastAsia" w:ascii="宋体" w:hAnsi="宋体" w:eastAsia="宋体" w:cs="宋体"/>
          <w:color w:val="auto"/>
          <w:sz w:val="24"/>
          <w:szCs w:val="24"/>
          <w:highlight w:val="none"/>
        </w:rPr>
        <w:t xml:space="preserve">的采购进行公开招标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欢迎有资格的供应商前来参加投标。</w:t>
      </w:r>
      <w:r/>
    </w:p>
    <w:p>
      <w:pPr>
        <w:ind w:firstLine="480"/>
        <w:spacing w:line="360" w:lineRule="auto"/>
        <w:shd w:val="clear" w:color="auto"/>
        <w:rPr>
          <w:rFonts w:hint="eastAsia"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一、项目编号：JSZC-320500-SZZJ-G2026-0018号。</w:t>
      </w:r>
      <w:r/>
    </w:p>
    <w:p>
      <w:pPr>
        <w:ind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二、</w:t>
      </w:r>
      <w:bookmarkEnd w:id="11"/>
      <w:r/>
      <w:bookmarkStart w:id="12" w:name="_Toc13543213"/>
      <w:r>
        <w:rPr>
          <w:rFonts w:hint="eastAsia" w:ascii="宋体" w:hAnsi="宋体" w:eastAsia="宋体" w:cs="宋体"/>
          <w:color w:val="auto"/>
          <w:sz w:val="24"/>
          <w:szCs w:val="24"/>
          <w:highlight w:val="none"/>
        </w:rPr>
        <w:t xml:space="preserve">采购需求</w:t>
      </w:r>
      <w:r>
        <w:rPr>
          <w:rFonts w:hint="eastAsia" w:ascii="宋体" w:hAnsi="宋体" w:eastAsia="宋体" w:cs="宋体"/>
          <w:color w:val="auto"/>
          <w:sz w:val="24"/>
          <w:szCs w:val="24"/>
          <w:highlight w:val="none"/>
          <w:lang w:eastAsia="zh-CN"/>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（一）项目概况：</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了保证在轨道交通4号线、5号线、6号线运营期间沿线国保单位的安全，本项目计划采用现代监测技术手段，从水平、垂直等不同形变方向，通过定期采集监测数据，及时分析监测结果，遵照预警消警原则，全面监控国保单位安全状态。</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（二）采购内容：</w:t>
      </w:r>
      <w:r/>
    </w:p>
    <w:tbl>
      <w:tblPr>
        <w:tblStyle w:val="921"/>
        <w:tblW w:w="96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539"/>
        <w:gridCol w:w="6100"/>
      </w:tblGrid>
      <w:tr>
        <w:trPr>
          <w:jc w:val="center"/>
          <w:trHeight w:val="567"/>
        </w:trPr>
        <w:tc>
          <w:tcPr>
            <w:tcW w:w="3539"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项目名称</w:t>
            </w:r>
            <w:r/>
          </w:p>
        </w:tc>
        <w:tc>
          <w:tcPr>
            <w:tcW w:w="6100"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项目内容</w:t>
            </w:r>
            <w:r/>
          </w:p>
        </w:tc>
      </w:tr>
      <w:tr>
        <w:trPr>
          <w:jc w:val="center"/>
          <w:trHeight w:val="567"/>
        </w:trPr>
        <w:tc>
          <w:tcPr>
            <w:tcW w:w="3539" w:type="dxa"/>
            <w:vAlign w:val="center"/>
            <w:vMerge w:val="restart"/>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2026年度苏州市轨道交通沿线文物安全监测</w:t>
            </w:r>
            <w:r/>
          </w:p>
        </w:tc>
        <w:tc>
          <w:tcPr>
            <w:tcW w:w="6100"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2026年度苏州市轨道交通4号线沿线文物安全监测</w:t>
            </w:r>
            <w:r/>
          </w:p>
        </w:tc>
      </w:tr>
      <w:tr>
        <w:trPr>
          <w:jc w:val="center"/>
          <w:trHeight w:val="567"/>
        </w:trPr>
        <w:tc>
          <w:tcPr>
            <w:tcW w:w="3539" w:type="dxa"/>
            <w:vAlign w:val="center"/>
            <w:vMerge w:val="continue"/>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6100"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2026年度苏州市轨道交通5号线沿线文物安全监测</w:t>
            </w:r>
            <w:r/>
          </w:p>
        </w:tc>
      </w:tr>
      <w:tr>
        <w:trPr>
          <w:jc w:val="center"/>
          <w:trHeight w:val="567"/>
        </w:trPr>
        <w:tc>
          <w:tcPr>
            <w:tcW w:w="3539" w:type="dxa"/>
            <w:vAlign w:val="center"/>
            <w:vMerge w:val="continue"/>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6100"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2026年度苏州市轨道交通6号线沿线文物安全监测</w:t>
            </w:r>
            <w:r/>
          </w:p>
        </w:tc>
      </w:tr>
    </w:tbl>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（三）服务要求：</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保证在轨道交通4号线、5号线、6号线运营期间沿线国保单位的安全，开展2026年度苏州市轨道交通沿线文物安全监测项目，通过定期采集监测数据，及时分析监测数据，遵照预警消警原则，全面监控国保单位安全状态。</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2026年度苏州市轨道交通沿线文物安全监测项目主要内容包括基准网复测和变形监测两项。</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基准网复测是针对前期已经建立的沉降、位移基准网进行成果复测和分析工作，分析判断基准网是否稳定可靠。变形监测的主要内容包括振动、沉降、位移、倾斜、水位、裂缝和构件监测等项目。</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变形监测采用的监测等级和要求与前期保持一致，但采用的技术手段和作业方法应适当结合目前新型测绘地理信息前沿技术。</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变形监测各项内容的工作量和频次根据前期积累的数据，进行综合分析后确定。</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此外，在完成变形监测数据采集工作的同时，其中一项重要工作是对监测数据的整理和成果分析，编制和发布信息通报，撰写变形监测项目分析报告。</w:t>
      </w:r>
      <w:r/>
    </w:p>
    <w:p>
      <w:pPr>
        <w:ind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监测等级</w:t>
      </w:r>
      <w:r>
        <w:rPr>
          <w:rFonts w:hint="eastAsia" w:ascii="宋体" w:hAnsi="宋体" w:eastAsia="宋体" w:cs="宋体"/>
          <w:color w:val="auto"/>
          <w:sz w:val="24"/>
          <w:szCs w:val="24"/>
          <w:highlight w:val="none"/>
          <w:lang w:eastAsia="zh-CN"/>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根据《建筑变形测量规范》规定，采用一等变形监测精度。</w:t>
      </w:r>
      <w:r/>
    </w:p>
    <w:p>
      <w:pPr>
        <w:ind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监测内容</w:t>
      </w:r>
      <w:r>
        <w:rPr>
          <w:rFonts w:hint="eastAsia" w:ascii="宋体" w:hAnsi="宋体" w:eastAsia="宋体" w:cs="宋体"/>
          <w:color w:val="auto"/>
          <w:sz w:val="24"/>
          <w:szCs w:val="24"/>
          <w:highlight w:val="none"/>
          <w:lang w:eastAsia="zh-CN"/>
        </w:rPr>
        <w:t xml:space="preserve">：</w:t>
      </w:r>
      <w:r/>
    </w:p>
    <w:p>
      <w:pPr>
        <w:ind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轨道交通4号线沿线国保单位变形监测内容</w:t>
      </w:r>
      <w:r>
        <w:rPr>
          <w:rFonts w:hint="eastAsia" w:ascii="宋体" w:hAnsi="宋体" w:eastAsia="宋体" w:cs="宋体"/>
          <w:color w:val="auto"/>
          <w:sz w:val="24"/>
          <w:szCs w:val="24"/>
          <w:highlight w:val="none"/>
          <w:lang w:eastAsia="zh-CN"/>
        </w:rPr>
        <w:t xml:space="preserve">：</w:t>
      </w:r>
      <w:r/>
    </w:p>
    <w:tbl>
      <w:tblPr>
        <w:tblStyle w:val="921"/>
        <w:tblW w:w="96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92"/>
        <w:gridCol w:w="3870"/>
        <w:gridCol w:w="4676"/>
      </w:tblGrid>
      <w:tr>
        <w:trPr>
          <w:jc w:val="center"/>
          <w:trHeight w:val="567" w:hRule="exact"/>
        </w:trPr>
        <w:tc>
          <w:tcPr>
            <w:tcW w:w="1092"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序号</w:t>
            </w:r>
            <w:r/>
          </w:p>
        </w:tc>
        <w:tc>
          <w:tcPr>
            <w:tcW w:w="3870"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监测内容</w:t>
            </w:r>
            <w:r/>
          </w:p>
        </w:tc>
        <w:tc>
          <w:tcPr>
            <w:tcW w:w="4676"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监测对象</w:t>
            </w:r>
            <w:r/>
          </w:p>
        </w:tc>
      </w:tr>
      <w:tr>
        <w:trPr>
          <w:jc w:val="center"/>
          <w:trHeight w:val="567" w:hRule="exact"/>
        </w:trPr>
        <w:tc>
          <w:tcPr>
            <w:tcW w:w="1092"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3870"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基准网复测</w:t>
            </w:r>
            <w:r/>
          </w:p>
        </w:tc>
        <w:tc>
          <w:tcPr>
            <w:tcW w:w="4676"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报恩寺塔、文庙、天香小筑、沧浪亭</w:t>
            </w:r>
            <w:r/>
          </w:p>
        </w:tc>
      </w:tr>
      <w:tr>
        <w:trPr>
          <w:jc w:val="center"/>
          <w:trHeight w:val="567" w:hRule="exact"/>
        </w:trPr>
        <w:tc>
          <w:tcPr>
            <w:tcW w:w="1092"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p>
        </w:tc>
        <w:tc>
          <w:tcPr>
            <w:tcW w:w="3870" w:type="dxa"/>
            <w:vAlign w:val="center"/>
            <w:vMerge w:val="restart"/>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变形监测、振动监测</w:t>
            </w:r>
            <w:r/>
          </w:p>
        </w:tc>
        <w:tc>
          <w:tcPr>
            <w:tcW w:w="4676"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报恩寺塔</w:t>
            </w:r>
            <w:r/>
          </w:p>
        </w:tc>
      </w:tr>
      <w:tr>
        <w:trPr>
          <w:jc w:val="center"/>
          <w:trHeight w:val="567" w:hRule="exact"/>
        </w:trPr>
        <w:tc>
          <w:tcPr>
            <w:tcW w:w="1092"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p>
        </w:tc>
        <w:tc>
          <w:tcPr>
            <w:tcW w:w="3870" w:type="dxa"/>
            <w:vAlign w:val="center"/>
            <w:vMerge w:val="continue"/>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4676"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文庙</w:t>
            </w:r>
            <w:r/>
          </w:p>
        </w:tc>
      </w:tr>
      <w:tr>
        <w:trPr>
          <w:jc w:val="center"/>
          <w:trHeight w:val="567" w:hRule="exact"/>
        </w:trPr>
        <w:tc>
          <w:tcPr>
            <w:tcW w:w="1092"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p>
        </w:tc>
        <w:tc>
          <w:tcPr>
            <w:tcW w:w="3870" w:type="dxa"/>
            <w:vAlign w:val="center"/>
            <w:vMerge w:val="continue"/>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4676"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天香小筑</w:t>
            </w:r>
            <w:r/>
          </w:p>
        </w:tc>
      </w:tr>
      <w:tr>
        <w:trPr>
          <w:jc w:val="center"/>
          <w:trHeight w:val="567" w:hRule="exact"/>
        </w:trPr>
        <w:tc>
          <w:tcPr>
            <w:tcW w:w="1092"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p>
        </w:tc>
        <w:tc>
          <w:tcPr>
            <w:tcW w:w="3870" w:type="dxa"/>
            <w:vAlign w:val="center"/>
            <w:vMerge w:val="continue"/>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4676"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沧浪亭</w:t>
            </w:r>
            <w:r/>
          </w:p>
        </w:tc>
      </w:tr>
      <w:tr>
        <w:trPr>
          <w:jc w:val="center"/>
          <w:trHeight w:val="567" w:hRule="exact"/>
        </w:trPr>
        <w:tc>
          <w:tcPr>
            <w:tcW w:w="1092"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6</w:t>
            </w:r>
            <w:r/>
          </w:p>
        </w:tc>
        <w:tc>
          <w:tcPr>
            <w:tcW w:w="3870" w:type="dxa"/>
            <w:vAlign w:val="center"/>
            <w:vMerge w:val="restart"/>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三维激光扫描监测</w:t>
            </w:r>
            <w:r/>
          </w:p>
        </w:tc>
        <w:tc>
          <w:tcPr>
            <w:tcW w:w="4676"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文庙棂星门</w:t>
            </w:r>
            <w:r/>
          </w:p>
        </w:tc>
      </w:tr>
      <w:tr>
        <w:trPr>
          <w:jc w:val="center"/>
          <w:trHeight w:val="567" w:hRule="exact"/>
        </w:trPr>
        <w:tc>
          <w:tcPr>
            <w:tcW w:w="1092"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7</w:t>
            </w:r>
            <w:r/>
          </w:p>
        </w:tc>
        <w:tc>
          <w:tcPr>
            <w:tcW w:w="3870" w:type="dxa"/>
            <w:vAlign w:val="center"/>
            <w:vMerge w:val="continue"/>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4676"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沧浪亭石亭</w:t>
            </w:r>
            <w:r/>
          </w:p>
        </w:tc>
      </w:tr>
    </w:tbl>
    <w:p>
      <w:pPr>
        <w:ind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轨道交通5号线沿线国保单位变形监测内容</w:t>
      </w:r>
      <w:r>
        <w:rPr>
          <w:rFonts w:hint="eastAsia" w:ascii="宋体" w:hAnsi="宋体" w:eastAsia="宋体" w:cs="宋体"/>
          <w:color w:val="auto"/>
          <w:sz w:val="24"/>
          <w:szCs w:val="24"/>
          <w:highlight w:val="none"/>
          <w:lang w:eastAsia="zh-CN"/>
        </w:rPr>
        <w:t xml:space="preserve">：</w:t>
      </w:r>
      <w:r/>
    </w:p>
    <w:tbl>
      <w:tblPr>
        <w:tblStyle w:val="921"/>
        <w:tblW w:w="96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92"/>
        <w:gridCol w:w="3870"/>
        <w:gridCol w:w="4676"/>
      </w:tblGrid>
      <w:tr>
        <w:trPr>
          <w:jc w:val="center"/>
          <w:trHeight w:val="567" w:hRule="exact"/>
        </w:trPr>
        <w:tc>
          <w:tcPr>
            <w:tcW w:w="1092"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序号</w:t>
            </w:r>
            <w:r/>
          </w:p>
        </w:tc>
        <w:tc>
          <w:tcPr>
            <w:tcW w:w="3870"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监测内容</w:t>
            </w:r>
            <w:r/>
          </w:p>
        </w:tc>
        <w:tc>
          <w:tcPr>
            <w:tcW w:w="4676"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监测对象</w:t>
            </w:r>
            <w:r/>
          </w:p>
        </w:tc>
      </w:tr>
      <w:tr>
        <w:trPr>
          <w:jc w:val="center"/>
          <w:trHeight w:val="567" w:hRule="exact"/>
        </w:trPr>
        <w:tc>
          <w:tcPr>
            <w:tcW w:w="1092"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3870"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基准网复测</w:t>
            </w:r>
            <w:r/>
          </w:p>
        </w:tc>
        <w:tc>
          <w:tcPr>
            <w:tcW w:w="4676"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瑞光塔、盘门城墙</w:t>
            </w:r>
            <w:r/>
          </w:p>
        </w:tc>
      </w:tr>
      <w:tr>
        <w:trPr>
          <w:jc w:val="center"/>
          <w:trHeight w:val="567" w:hRule="exact"/>
        </w:trPr>
        <w:tc>
          <w:tcPr>
            <w:tcW w:w="1092"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p>
        </w:tc>
        <w:tc>
          <w:tcPr>
            <w:tcW w:w="3870" w:type="dxa"/>
            <w:vAlign w:val="center"/>
            <w:vMerge w:val="restart"/>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变形监测、振动监测</w:t>
            </w:r>
            <w:r/>
          </w:p>
        </w:tc>
        <w:tc>
          <w:tcPr>
            <w:tcW w:w="4676"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瑞光塔</w:t>
            </w:r>
            <w:r/>
          </w:p>
        </w:tc>
      </w:tr>
      <w:tr>
        <w:trPr>
          <w:jc w:val="center"/>
          <w:trHeight w:val="567" w:hRule="exact"/>
        </w:trPr>
        <w:tc>
          <w:tcPr>
            <w:tcW w:w="1092"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p>
        </w:tc>
        <w:tc>
          <w:tcPr>
            <w:tcW w:w="3870" w:type="dxa"/>
            <w:vAlign w:val="center"/>
            <w:vMerge w:val="continue"/>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4676"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盘门城墙</w:t>
            </w:r>
            <w:r/>
          </w:p>
        </w:tc>
      </w:tr>
      <w:tr>
        <w:trPr>
          <w:jc w:val="center"/>
          <w:trHeight w:val="567" w:hRule="exact"/>
        </w:trPr>
        <w:tc>
          <w:tcPr>
            <w:tcW w:w="1092"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p>
        </w:tc>
        <w:tc>
          <w:tcPr>
            <w:tcW w:w="3870"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三维激光扫描监测</w:t>
            </w:r>
            <w:r/>
          </w:p>
        </w:tc>
        <w:tc>
          <w:tcPr>
            <w:tcW w:w="4676"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盘门城墙重点区域</w:t>
            </w:r>
            <w:r/>
          </w:p>
        </w:tc>
      </w:tr>
    </w:tbl>
    <w:p>
      <w:pPr>
        <w:ind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轨道交通6号线沿线国保单位变形监测内容</w:t>
      </w:r>
      <w:r>
        <w:rPr>
          <w:rFonts w:hint="eastAsia" w:ascii="宋体" w:hAnsi="宋体" w:eastAsia="宋体" w:cs="宋体"/>
          <w:color w:val="auto"/>
          <w:sz w:val="24"/>
          <w:szCs w:val="24"/>
          <w:highlight w:val="none"/>
          <w:lang w:eastAsia="zh-CN"/>
        </w:rPr>
        <w:t xml:space="preserve">：</w:t>
      </w:r>
      <w:r/>
    </w:p>
    <w:tbl>
      <w:tblPr>
        <w:tblStyle w:val="921"/>
        <w:tblW w:w="96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74"/>
        <w:gridCol w:w="3888"/>
        <w:gridCol w:w="4676"/>
      </w:tblGrid>
      <w:tr>
        <w:trPr>
          <w:jc w:val="center"/>
          <w:trHeight w:val="567"/>
        </w:trPr>
        <w:tc>
          <w:tcPr>
            <w:tcW w:w="1074"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序号</w:t>
            </w:r>
            <w:r/>
          </w:p>
        </w:tc>
        <w:tc>
          <w:tcPr>
            <w:tcW w:w="3888"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监测内容</w:t>
            </w:r>
            <w:r/>
          </w:p>
        </w:tc>
        <w:tc>
          <w:tcPr>
            <w:tcW w:w="4676"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监测对象</w:t>
            </w:r>
            <w:r/>
          </w:p>
        </w:tc>
      </w:tr>
      <w:tr>
        <w:trPr>
          <w:jc w:val="center"/>
          <w:trHeight w:val="567"/>
        </w:trPr>
        <w:tc>
          <w:tcPr>
            <w:tcW w:w="1074"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3888"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基准网复测</w:t>
            </w:r>
            <w:r/>
          </w:p>
        </w:tc>
        <w:tc>
          <w:tcPr>
            <w:tcW w:w="4676"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拙政园、狮子林、忠王府、东吴大学旧址</w:t>
            </w:r>
            <w:r/>
          </w:p>
        </w:tc>
      </w:tr>
      <w:tr>
        <w:trPr>
          <w:jc w:val="center"/>
          <w:trHeight w:val="567"/>
        </w:trPr>
        <w:tc>
          <w:tcPr>
            <w:tcW w:w="1074"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p>
        </w:tc>
        <w:tc>
          <w:tcPr>
            <w:tcW w:w="3888" w:type="dxa"/>
            <w:vAlign w:val="center"/>
            <w:vMerge w:val="restart"/>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变形监测、振动监测</w:t>
            </w:r>
            <w:r/>
          </w:p>
        </w:tc>
        <w:tc>
          <w:tcPr>
            <w:tcW w:w="4676"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拙政园</w:t>
            </w:r>
            <w:r/>
          </w:p>
        </w:tc>
      </w:tr>
      <w:tr>
        <w:trPr>
          <w:jc w:val="center"/>
          <w:trHeight w:val="567"/>
        </w:trPr>
        <w:tc>
          <w:tcPr>
            <w:tcW w:w="1074"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p>
        </w:tc>
        <w:tc>
          <w:tcPr>
            <w:tcW w:w="3888" w:type="dxa"/>
            <w:vAlign w:val="center"/>
            <w:vMerge w:val="continue"/>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4676"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狮子林</w:t>
            </w:r>
            <w:r/>
          </w:p>
        </w:tc>
      </w:tr>
      <w:tr>
        <w:trPr>
          <w:jc w:val="center"/>
          <w:trHeight w:val="567"/>
        </w:trPr>
        <w:tc>
          <w:tcPr>
            <w:tcW w:w="1074"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p>
        </w:tc>
        <w:tc>
          <w:tcPr>
            <w:tcW w:w="3888" w:type="dxa"/>
            <w:vAlign w:val="center"/>
            <w:vMerge w:val="continue"/>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4676"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忠王府</w:t>
            </w:r>
            <w:r/>
          </w:p>
        </w:tc>
      </w:tr>
      <w:tr>
        <w:trPr>
          <w:jc w:val="center"/>
          <w:trHeight w:val="567"/>
        </w:trPr>
        <w:tc>
          <w:tcPr>
            <w:tcW w:w="1074"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p>
        </w:tc>
        <w:tc>
          <w:tcPr>
            <w:tcW w:w="3888" w:type="dxa"/>
            <w:vAlign w:val="center"/>
            <w:vMerge w:val="continue"/>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4676"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东吴大学旧址</w:t>
            </w:r>
            <w:r/>
          </w:p>
        </w:tc>
      </w:tr>
      <w:tr>
        <w:trPr>
          <w:jc w:val="center"/>
          <w:trHeight w:val="567"/>
        </w:trPr>
        <w:tc>
          <w:tcPr>
            <w:tcW w:w="1074"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6</w:t>
            </w:r>
            <w:r/>
          </w:p>
        </w:tc>
        <w:tc>
          <w:tcPr>
            <w:tcW w:w="3888" w:type="dxa"/>
            <w:vAlign w:val="center"/>
            <w:vMerge w:val="restart"/>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三维激光扫描监测</w:t>
            </w:r>
            <w:r/>
          </w:p>
        </w:tc>
        <w:tc>
          <w:tcPr>
            <w:tcW w:w="4676"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拙政园部分区域</w:t>
            </w:r>
            <w:r/>
          </w:p>
        </w:tc>
      </w:tr>
      <w:tr>
        <w:trPr>
          <w:jc w:val="center"/>
          <w:trHeight w:val="567"/>
        </w:trPr>
        <w:tc>
          <w:tcPr>
            <w:tcW w:w="1074"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7</w:t>
            </w:r>
            <w:r/>
          </w:p>
        </w:tc>
        <w:tc>
          <w:tcPr>
            <w:tcW w:w="3888" w:type="dxa"/>
            <w:vAlign w:val="center"/>
            <w:vMerge w:val="continue"/>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4676"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忠王府前殿</w:t>
            </w:r>
            <w:r/>
          </w:p>
        </w:tc>
      </w:tr>
      <w:tr>
        <w:trPr>
          <w:jc w:val="center"/>
          <w:trHeight w:val="567"/>
        </w:trPr>
        <w:tc>
          <w:tcPr>
            <w:tcW w:w="1074"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8</w:t>
            </w:r>
            <w:r/>
          </w:p>
        </w:tc>
        <w:tc>
          <w:tcPr>
            <w:tcW w:w="3888" w:type="dxa"/>
            <w:vAlign w:val="center"/>
            <w:vMerge w:val="continue"/>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4676"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东吴大学旧址陶然亭</w:t>
            </w:r>
            <w:r/>
          </w:p>
        </w:tc>
      </w:tr>
    </w:tbl>
    <w:p>
      <w:pPr>
        <w:ind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成果分析</w:t>
      </w:r>
      <w:r>
        <w:rPr>
          <w:rFonts w:hint="eastAsia" w:ascii="宋体" w:hAnsi="宋体" w:eastAsia="宋体" w:cs="宋体"/>
          <w:color w:val="auto"/>
          <w:sz w:val="24"/>
          <w:szCs w:val="24"/>
          <w:highlight w:val="none"/>
          <w:lang w:eastAsia="zh-CN"/>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各项监测数据，采用时间分析、空间分析和区域分析方法进行研究分析，对变形随时间、空间分布和区域位置的变化所表现出的规律进行总结，结合变形监测数据采集时天气情况，研究分析变形体的变形规律，对监测对象变形状态进行判断。</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分析研究综合工况下，国保单位的振动响应情况。对变形监测各项监测内容和振动监测结论进行综合，挖掘数据变形之间的联系，进行综合分析。</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根据现有监测数据，研究数据预测模型，并对下一期变形数据进行预测；建立文物古建筑变形预警机制，为文物古建筑保护预案提供参考。</w:t>
      </w:r>
      <w:r/>
    </w:p>
    <w:p>
      <w:pPr>
        <w:ind w:firstLine="480"/>
        <w:jc w:val="left"/>
        <w:spacing w:line="360" w:lineRule="auto"/>
        <w:rPr>
          <w:rFonts w:hint="eastAsia" w:ascii="宋体" w:hAnsi="宋体" w:eastAsia="宋体" w:cs="宋体"/>
          <w:color w:val="auto"/>
          <w:sz w:val="24"/>
          <w:szCs w:val="24"/>
          <w:highlight w:val="none"/>
          <w:lang w:eastAsia="zh-CN"/>
        </w:rPr>
      </w:pPr>
      <w:r/>
      <w:bookmarkStart w:id="13" w:name="_Toc47620079"/>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成果样式</w:t>
      </w:r>
      <w:bookmarkEnd w:id="13"/>
      <w:r>
        <w:rPr>
          <w:rFonts w:hint="eastAsia" w:ascii="宋体" w:hAnsi="宋体" w:eastAsia="宋体" w:cs="宋体"/>
          <w:color w:val="auto"/>
          <w:sz w:val="24"/>
          <w:szCs w:val="24"/>
          <w:highlight w:val="none"/>
          <w:lang w:eastAsia="zh-CN"/>
        </w:rPr>
        <w:t xml:space="preserve">：</w:t>
      </w:r>
      <w:r/>
    </w:p>
    <w:p>
      <w:pPr>
        <w:ind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分析报告</w:t>
      </w:r>
      <w:r>
        <w:rPr>
          <w:rFonts w:hint="eastAsia" w:ascii="宋体" w:hAnsi="宋体" w:eastAsia="宋体" w:cs="宋体"/>
          <w:color w:val="auto"/>
          <w:sz w:val="24"/>
          <w:szCs w:val="24"/>
          <w:highlight w:val="none"/>
          <w:lang w:eastAsia="zh-CN"/>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编制轨道交通沿线国保单位变形监测分析报告，主要成果内容如下：</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A.以变形监测数据和振动监测数据为基础，采用数据归类、数据整理和统计分析方法对监测数据进行预处理。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B.采用时间分析、空间分析和区域分析方法对变形监测各期数据进行定量和定性分析，结合地理信息系统等表现手段，对各类监测数据赋予时间和空间属性，实现变形量及变形规律的可视化表达，并通过对变形监测时气温条件、季节变化的分析，挖掘文物变形的时空变化规律。</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C.对于振动监测数据，研究综合工况下，国保单位对振动响应情况和频谱变化规律。</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D.根据现有变形监测数据，选择合适的变形预测模型，对下一期变形量进行预测，建立预警机制，为文物保护预案提供参考依据。</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E.总结分析报告内容，对下一阶段继续研究和工作的方向进行展望。</w:t>
      </w:r>
      <w:r/>
    </w:p>
    <w:p>
      <w:pPr>
        <w:ind w:firstLine="480"/>
        <w:jc w:val="left"/>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F.对监测数据开展规整入库，实现监测成果的信息化展示。</w:t>
      </w:r>
      <w:r/>
    </w:p>
    <w:p>
      <w:pPr>
        <w:ind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信息通报</w:t>
      </w:r>
      <w:r>
        <w:rPr>
          <w:rFonts w:hint="eastAsia" w:ascii="宋体" w:hAnsi="宋体" w:eastAsia="宋体" w:cs="宋体"/>
          <w:color w:val="auto"/>
          <w:sz w:val="24"/>
          <w:szCs w:val="24"/>
          <w:highlight w:val="none"/>
          <w:lang w:eastAsia="zh-CN"/>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编制轨道交通沿线国保单位变形监测信息通报，对分析报告内容进行总结和提炼，形成信息通报，为更好的管理、保护和辅助决策，提供可靠的数据支撑。</w:t>
      </w:r>
      <w:r/>
    </w:p>
    <w:p>
      <w:pPr>
        <w:numPr>
          <w:ilvl w:val="0"/>
          <w:numId w:val="0"/>
        </w:numPr>
        <w:ind w:firstLine="480"/>
        <w:jc w:val="left"/>
        <w:spacing w:line="360" w:lineRule="auto"/>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lang w:val="en-US" w:eastAsia="zh-CN" w:bidi="ar-SA"/>
        </w:rPr>
        <w:t xml:space="preserve">（四）</w:t>
      </w:r>
      <w:r>
        <w:rPr>
          <w:rFonts w:hint="eastAsia" w:ascii="宋体" w:hAnsi="宋体" w:eastAsia="宋体" w:cs="宋体"/>
          <w:bCs/>
          <w:color w:val="auto"/>
          <w:sz w:val="24"/>
          <w:szCs w:val="24"/>
          <w:highlight w:val="none"/>
          <w:lang w:val="en-US" w:eastAsia="zh-CN"/>
        </w:rPr>
        <w:t xml:space="preserve">人员要求：</w:t>
      </w:r>
      <w:r/>
    </w:p>
    <w:p>
      <w:p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color w:val="auto"/>
          <w:sz w:val="24"/>
          <w:szCs w:val="24"/>
          <w:highlight w:val="none"/>
        </w:rPr>
        <w:t xml:space="preserve">1、拟投入人员数量应满足本项目日常工作的需求，至少包含一名项目负责人</w:t>
      </w:r>
      <w:r>
        <w:rPr>
          <w:rFonts w:hint="eastAsia" w:ascii="宋体" w:hAnsi="宋体" w:eastAsia="宋体" w:cs="宋体"/>
          <w:color w:val="auto"/>
          <w:sz w:val="24"/>
          <w:szCs w:val="24"/>
          <w:highlight w:val="none"/>
          <w:lang w:eastAsia="zh-CN"/>
        </w:rPr>
        <w:t xml:space="preserve">。</w:t>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（五）有关要求：</w:t>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项目实施质量必须严格按照国家规范及江苏省、苏州市相应地方规范、招标文件的技术规范的有关要求执行，如果在合同履行过程中有新的国家或行业（部）规范和标准出台的，则中标人应确保其合同标的物达到并符合新的国家或行业（部）规范和标准，因此而增加的费用及风险由中标人自行承担。</w:t>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2、中标人须在项目实施前把详细的实施方案报送采购人审批，经批准同意后方可以组织实施。在项目实施期间中标人应遵守项目现场及采购人的各项规章制度。</w:t>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3、中标人在项目实施期间应无条件的接受采购人的监督管理，提出的质量问题要及时整改，整改完毕后通知采购人检查验收，合格后书面报送采购人备案。</w:t>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4、知识产权的要求：</w:t>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（1）本项目全部知识产权均归采购人所有（独有），未经采购人书面同意，无论是否被采购人所采用中标人均不得对外发布。</w:t>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（2）采购人提供的资料文件，中标人具有保密义务。</w:t>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（3）中标人为本项目而引用、收集其他社会上的文件、资料所涉及的知识产权费用和法律纠纷由中标人自行负责，由此而引起的法律纠纷以及费用须由中标人全部承担。</w:t>
      </w:r>
      <w:r/>
    </w:p>
    <w:p>
      <w:pPr>
        <w:ind w:firstLine="480"/>
        <w:jc w:val="left"/>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5、与本次采购项目有关的质量、安全问题均由中标人终生负责，相关的人员、财产责任风险均由中标人全部承担。</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、综合要求：</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所提供的相关货物或服务应符合国家有关标准和规范，并遵循招标文件的要求，应达到或优于采购要求，并提供详细说明。若招标要求中涉及品牌或品牌导向，则仅作参考。投标文件必须如实进行实质性响应，量化指标必须列明具体数值。</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在其投标文件中对于招标文件已提供以及未提供的货物或服务情况均须进行完整的阐述和说明，否则其投标文件将有被拒绝的可能。</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提供的投标文件内容须真实、准确、有效，如提供虚假材料或对招标文件所要求说明的情况故意隐瞒或虚报，视为不实质性响应采购要求，其投标文件将被拒绝。已中标的将取消中标资格，并按《中华人民共和国政府采购法》第七十七条的相关办法处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应保证</w:t>
      </w:r>
      <w:r>
        <w:rPr>
          <w:rFonts w:hint="eastAsia" w:ascii="宋体" w:hAnsi="宋体" w:eastAsia="宋体" w:cs="宋体"/>
          <w:color w:val="auto"/>
          <w:sz w:val="24"/>
          <w:szCs w:val="24"/>
          <w:highlight w:val="none"/>
          <w:lang w:val="zh-CN"/>
        </w:rPr>
        <w:t xml:space="preserve">对所提供货物</w:t>
      </w:r>
      <w:r>
        <w:rPr>
          <w:rFonts w:hint="eastAsia" w:ascii="宋体" w:hAnsi="宋体" w:eastAsia="宋体" w:cs="宋体"/>
          <w:color w:val="auto"/>
          <w:sz w:val="24"/>
          <w:szCs w:val="24"/>
          <w:highlight w:val="none"/>
        </w:rPr>
        <w:t xml:space="preserve">或</w:t>
      </w:r>
      <w:r>
        <w:rPr>
          <w:rFonts w:hint="eastAsia" w:ascii="宋体" w:hAnsi="宋体" w:eastAsia="宋体" w:cs="宋体"/>
          <w:color w:val="auto"/>
          <w:sz w:val="24"/>
          <w:szCs w:val="24"/>
          <w:highlight w:val="none"/>
          <w:lang w:val="zh-CN"/>
        </w:rPr>
        <w:t xml:space="preserve">服务等知识产权方面的一切产权关系负全部责任</w:t>
      </w:r>
      <w:r>
        <w:rPr>
          <w:rFonts w:hint="eastAsia" w:ascii="宋体" w:hAnsi="宋体" w:eastAsia="宋体" w:cs="宋体"/>
          <w:color w:val="auto"/>
          <w:sz w:val="24"/>
          <w:szCs w:val="24"/>
          <w:highlight w:val="none"/>
        </w:rPr>
        <w:t xml:space="preserve">，不会产生因第三方提出侵犯其专利权、商标权或其它知识产权而引起的法律和经济纠纷，如因专利权、商标权或其它知识产权而引起法律和经济纠纷，由供应商承担所有相关责任。</w:t>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需编制本项目的技术方案，包括但不限于：对现有基准网及变形监测网点位的情况说明；基准网普查复测的情况说明；提供沉降监测、位移监测、倾斜监测、裂缝监测及主要构部件监测方案；提供振动监测点位布设方案及实施方案；古建筑三维激光扫描监测方案；提供项目管理组织体系说明；提供项目进度控制措施说明；提供项目质量控制措施说明；提供项目安全保障措施说明；投标人承接本项目所具有的技术优势及可提供的本地化服务能力说明</w:t>
      </w:r>
      <w:r>
        <w:rPr>
          <w:rFonts w:hint="eastAsia" w:ascii="宋体" w:hAnsi="宋体" w:eastAsia="宋体" w:cs="宋体"/>
          <w:color w:val="auto"/>
          <w:sz w:val="24"/>
          <w:szCs w:val="24"/>
          <w:highlight w:val="none"/>
          <w:lang w:val="en-US" w:eastAsia="zh-CN"/>
        </w:rPr>
        <w:t xml:space="preserve">等。</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5、供应商拟投入本项目的团队需具有履约能力，有服务项目人员及设备，便于项目实施。</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6、供应商需有丰富的类似项目经验</w:t>
      </w:r>
      <w:r>
        <w:rPr>
          <w:rFonts w:hint="eastAsia" w:ascii="宋体" w:hAnsi="宋体" w:eastAsia="宋体" w:cs="宋体"/>
          <w:color w:val="auto"/>
          <w:sz w:val="24"/>
          <w:szCs w:val="24"/>
          <w:highlight w:val="none"/>
          <w:lang w:val="en-US" w:eastAsia="zh-CN"/>
        </w:rPr>
        <w:t xml:space="preserve">等</w:t>
      </w:r>
      <w:r>
        <w:rPr>
          <w:rFonts w:hint="eastAsia" w:ascii="宋体" w:hAnsi="宋体" w:eastAsia="宋体" w:cs="宋体"/>
          <w:color w:val="auto"/>
          <w:sz w:val="24"/>
          <w:szCs w:val="24"/>
          <w:highlight w:val="none"/>
          <w:lang w:val="en-US" w:eastAsia="zh-CN" w:bidi="ar-SA"/>
        </w:rPr>
        <w:t xml:space="preserve">内容</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、项目地点：</w:t>
      </w:r>
      <w:r>
        <w:rPr>
          <w:rFonts w:hint="eastAsia" w:ascii="宋体" w:hAnsi="宋体" w:eastAsia="宋体" w:cs="宋体"/>
          <w:color w:val="auto"/>
          <w:sz w:val="24"/>
          <w:szCs w:val="24"/>
          <w:highlight w:val="none"/>
          <w:lang w:eastAsia="zh-CN"/>
        </w:rPr>
        <w:t xml:space="preserve">采购人指定地点（苏州大市范围内）</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Times New Roman"/>
          <w:color w:val="auto"/>
          <w:sz w:val="24"/>
          <w:szCs w:val="24"/>
          <w:highlight w:val="none"/>
          <w:lang w:val="en-US" w:eastAsia="zh-CN"/>
        </w:rPr>
        <w:t xml:space="preserve">8</w:t>
      </w:r>
      <w:r>
        <w:rPr>
          <w:rFonts w:hint="eastAsia" w:ascii="宋体" w:hAnsi="宋体" w:eastAsia="宋体" w:cs="Times New Roman"/>
          <w:color w:val="auto"/>
          <w:sz w:val="24"/>
          <w:szCs w:val="24"/>
          <w:highlight w:val="none"/>
          <w:lang w:val="zh-CN"/>
        </w:rPr>
        <w:t xml:space="preserve">、</w:t>
      </w:r>
      <w:r>
        <w:rPr>
          <w:rFonts w:hint="eastAsia" w:ascii="宋体" w:hAnsi="宋体" w:eastAsia="宋体" w:cs="Times New Roman"/>
          <w:color w:val="auto"/>
          <w:sz w:val="24"/>
          <w:szCs w:val="24"/>
          <w:highlight w:val="none"/>
        </w:rPr>
        <w:t xml:space="preserve">服务要求：投标人须为本项目提供每周5个工作日×12小时的免费服务热线，并须在1小时响应、2小时到场、24小时解决售后问题</w:t>
      </w:r>
      <w:r>
        <w:rPr>
          <w:rFonts w:hint="eastAsia" w:ascii="宋体" w:hAnsi="宋体" w:eastAsia="宋体" w:cs="宋体"/>
          <w:bCs/>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、验收要求：标的物须符合我国最新</w:t>
      </w:r>
      <w:r>
        <w:rPr>
          <w:rFonts w:hint="eastAsia" w:ascii="宋体" w:hAnsi="宋体" w:eastAsia="宋体" w:cs="宋体"/>
          <w:color w:val="auto"/>
          <w:sz w:val="24"/>
          <w:szCs w:val="24"/>
          <w:highlight w:val="none"/>
        </w:rPr>
        <w:t xml:space="preserve">颁布的与之相关的技术规范与标准，并同时满足招标文件要求和中标人所作承诺。在中标人完成全部采购内容并交付验收时，采购人应当自标的物交付验收之日起七个工作日内组织验收，对标的物进行详细而全面的验收，并在验收通过后出具一份验收合格报告以作为采购人的验收依据，但不作为有关标的物的最终检验结果。投标人须在其投标文件中提供一份验收办法，但此标准不得对抗相关部门的验收和招标文件中的验收要求，未提供验收办法的投标文件将被视为非实质性响应。中标人对货物或服务缺陷不予更正，采购人有权另请其他单位更正，所发生的费用由中标人承担。</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、凡涉及招标文件的补充说明和修改，均以苏州市政府采购网上公示信息为准。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auto"/>
        <w:shd w:val="clear" w:color="auto"/>
        <w:tabs>
          <w:tab w:val="left" w:pos="709" w:leader="none"/>
        </w:tabs>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r>
      <w:r/>
    </w:p>
    <w:p>
      <w:pPr>
        <w:jc w:val="center"/>
        <w:spacing w:line="360" w:lineRule="auto"/>
        <w:shd w:val="clear" w:color="auto"/>
        <w:tabs>
          <w:tab w:val="left" w:pos="709" w:leader="none"/>
        </w:tabs>
        <w:rPr>
          <w:rFonts w:hint="eastAsia" w:ascii="宋体" w:hAnsi="宋体" w:eastAsia="宋体" w:cs="宋体"/>
          <w:b/>
          <w:bCs w:val="0"/>
          <w:color w:val="auto"/>
          <w:sz w:val="24"/>
          <w:szCs w:val="24"/>
          <w:highlight w:val="none"/>
        </w:rPr>
        <w:sectPr>
          <w:footnotePr/>
          <w:endnotePr/>
          <w:type w:val="nextPage"/>
          <w:pgSz w:w="11906" w:h="16838" w:orient="portrait"/>
          <w:pgMar w:top="1134" w:right="1134" w:bottom="1134" w:left="1134" w:header="851" w:footer="992" w:gutter="0"/>
          <w:cols w:num="1" w:sep="0" w:space="720" w:equalWidth="1"/>
          <w:docGrid w:linePitch="360"/>
        </w:sectPr>
      </w:pPr>
      <w:r>
        <w:rPr>
          <w:rFonts w:hint="eastAsia" w:ascii="宋体" w:hAnsi="宋体" w:eastAsia="宋体" w:cs="宋体"/>
          <w:b/>
          <w:bCs w:val="0"/>
          <w:color w:val="auto"/>
          <w:sz w:val="24"/>
          <w:szCs w:val="24"/>
          <w:highlight w:val="none"/>
        </w:rPr>
      </w:r>
      <w:r/>
    </w:p>
    <w:p>
      <w:pPr>
        <w:jc w:val="center"/>
        <w:spacing w:line="360" w:lineRule="auto"/>
        <w:shd w:val="clear" w:color="auto"/>
        <w:tabs>
          <w:tab w:val="left" w:pos="709" w:leader="none"/>
        </w:tabs>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第五章 合同主要条款</w:t>
      </w:r>
      <w:bookmarkEnd w:id="12"/>
      <w:r/>
      <w:r/>
    </w:p>
    <w:p>
      <w:pPr>
        <w:ind w:firstLine="482"/>
        <w:keepLines w:val="0"/>
        <w:keepNext w:val="0"/>
        <w:pageBreakBefore w:val="0"/>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r>
      <w:r/>
    </w:p>
    <w:p>
      <w:pPr>
        <w:ind w:firstLine="482"/>
        <w:keepLines w:val="0"/>
        <w:keepNext w:val="0"/>
        <w:pageBreakBefore w:val="0"/>
        <w:spacing w:line="360" w:lineRule="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rPr>
        <w:t xml:space="preserve">项目名称：</w:t>
      </w:r>
      <w:r>
        <w:rPr>
          <w:rFonts w:hint="eastAsia" w:ascii="宋体" w:hAnsi="宋体" w:eastAsia="宋体" w:cs="宋体"/>
          <w:b/>
          <w:bCs w:val="0"/>
          <w:color w:val="auto"/>
          <w:sz w:val="24"/>
          <w:szCs w:val="24"/>
          <w:highlight w:val="none"/>
          <w:lang w:eastAsia="zh-CN"/>
        </w:rPr>
        <w:t xml:space="preserve">苏州市轨道交通沿线文物安全监测</w:t>
      </w:r>
      <w:r>
        <w:rPr>
          <w:rFonts w:hint="eastAsia" w:ascii="宋体" w:hAnsi="宋体" w:eastAsia="宋体" w:cs="宋体"/>
          <w:b/>
          <w:bCs w:val="0"/>
          <w:color w:val="auto"/>
          <w:sz w:val="24"/>
          <w:szCs w:val="24"/>
          <w:highlight w:val="none"/>
          <w:lang w:val="en-US" w:eastAsia="zh-CN"/>
        </w:rPr>
        <w:t xml:space="preserve">项目</w:t>
      </w:r>
      <w:r/>
    </w:p>
    <w:p>
      <w:pPr>
        <w:ind w:firstLine="482"/>
        <w:keepLines w:val="0"/>
        <w:keepNext w:val="0"/>
        <w:pageBreakBefore w:val="0"/>
        <w:spacing w:line="360" w:lineRule="auto"/>
        <w:rPr>
          <w:rFonts w:hint="eastAsia" w:ascii="宋体" w:hAnsi="宋体" w:eastAsia="宋体" w:cs="宋体"/>
          <w:b/>
          <w:bCs w:val="0"/>
          <w:color w:val="auto"/>
          <w:sz w:val="24"/>
          <w:szCs w:val="24"/>
          <w:highlight w:val="none"/>
          <w:lang w:eastAsia="zh-CN"/>
        </w:rPr>
      </w:pPr>
      <w:r>
        <w:rPr>
          <w:rFonts w:hint="eastAsia" w:ascii="宋体" w:hAnsi="宋体" w:eastAsia="宋体" w:cs="宋体"/>
          <w:b/>
          <w:bCs w:val="0"/>
          <w:color w:val="auto"/>
          <w:sz w:val="24"/>
          <w:szCs w:val="24"/>
          <w:highlight w:val="none"/>
        </w:rPr>
        <w:t xml:space="preserve">项目编号：</w:t>
      </w:r>
      <w:r>
        <w:rPr>
          <w:rFonts w:hint="eastAsia" w:ascii="宋体" w:hAnsi="宋体" w:eastAsia="宋体" w:cs="宋体"/>
          <w:b/>
          <w:bCs w:val="0"/>
          <w:color w:val="auto"/>
          <w:sz w:val="24"/>
          <w:szCs w:val="24"/>
          <w:highlight w:val="none"/>
          <w:lang w:eastAsia="zh-CN"/>
        </w:rPr>
        <w:t xml:space="preserve">JSZC-320500-SZZJ-G2026-0018</w:t>
      </w:r>
      <w:r/>
    </w:p>
    <w:p>
      <w:pPr>
        <w:ind w:firstLine="482"/>
        <w:keepLines w:val="0"/>
        <w:keepNext w:val="0"/>
        <w:pageBreakBefore w:val="0"/>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r>
      <w:r/>
    </w:p>
    <w:p>
      <w:pPr>
        <w:ind w:firstLine="482"/>
        <w:keepLines w:val="0"/>
        <w:keepNext w:val="0"/>
        <w:pageBreakBefore w:val="0"/>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甲方（项目采购人）：</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联系人： </w:t>
      </w:r>
      <w:r>
        <w:rPr>
          <w:rFonts w:hint="eastAsia" w:ascii="宋体" w:hAnsi="宋体" w:eastAsia="宋体" w:cs="宋体"/>
          <w:bCs/>
          <w:color w:val="auto"/>
          <w:sz w:val="24"/>
          <w:szCs w:val="24"/>
          <w:highlight w:val="none"/>
        </w:rPr>
        <w:tab/>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单位地址： </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电话：</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2"/>
        <w:keepLines w:val="0"/>
        <w:keepNext w:val="0"/>
        <w:pageBreakBefore w:val="0"/>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乙方（</w:t>
      </w:r>
      <w:r>
        <w:rPr>
          <w:rFonts w:hint="eastAsia" w:ascii="宋体" w:hAnsi="宋体" w:eastAsia="宋体" w:cs="宋体"/>
          <w:b/>
          <w:bCs w:val="0"/>
          <w:color w:val="auto"/>
          <w:sz w:val="24"/>
          <w:szCs w:val="24"/>
          <w:highlight w:val="none"/>
          <w:lang w:val="en-US" w:eastAsia="zh-CN"/>
        </w:rPr>
        <w:t xml:space="preserve">中标单位</w:t>
      </w:r>
      <w:r>
        <w:rPr>
          <w:rFonts w:hint="eastAsia" w:ascii="宋体" w:hAnsi="宋体" w:eastAsia="宋体" w:cs="宋体"/>
          <w:b/>
          <w:bCs w:val="0"/>
          <w:color w:val="auto"/>
          <w:sz w:val="24"/>
          <w:szCs w:val="24"/>
          <w:highlight w:val="none"/>
        </w:rPr>
        <w:t xml:space="preserve">）：</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联系人： </w:t>
      </w:r>
      <w:r>
        <w:rPr>
          <w:rFonts w:hint="eastAsia" w:ascii="宋体" w:hAnsi="宋体" w:eastAsia="宋体" w:cs="宋体"/>
          <w:bCs/>
          <w:color w:val="auto"/>
          <w:sz w:val="24"/>
          <w:szCs w:val="24"/>
          <w:highlight w:val="none"/>
        </w:rPr>
        <w:tab/>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单位地址： </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电话：</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甲方所需</w:t>
      </w:r>
      <w:r>
        <w:rPr>
          <w:rFonts w:hint="eastAsia" w:ascii="宋体" w:hAnsi="宋体" w:eastAsia="宋体" w:cs="宋体"/>
          <w:color w:val="auto"/>
          <w:sz w:val="24"/>
          <w:szCs w:val="24"/>
          <w:highlight w:val="none"/>
          <w:u w:val="single"/>
          <w:lang w:eastAsia="zh-CN"/>
        </w:rPr>
        <w:t xml:space="preserve">苏州市轨道交通沿线文物安全监测</w:t>
      </w:r>
      <w:r>
        <w:rPr>
          <w:rFonts w:hint="eastAsia" w:ascii="宋体" w:hAnsi="宋体" w:eastAsia="宋体" w:cs="宋体"/>
          <w:color w:val="auto"/>
          <w:sz w:val="24"/>
          <w:szCs w:val="24"/>
          <w:highlight w:val="none"/>
          <w:u w:val="single"/>
        </w:rPr>
        <w:t xml:space="preserve">项目</w:t>
      </w:r>
      <w:r>
        <w:rPr>
          <w:rFonts w:hint="eastAsia" w:ascii="宋体" w:hAnsi="宋体" w:eastAsia="宋体" w:cs="宋体"/>
          <w:color w:val="auto"/>
          <w:sz w:val="24"/>
          <w:szCs w:val="24"/>
          <w:highlight w:val="none"/>
        </w:rPr>
        <w:t xml:space="preserve">经</w:t>
      </w:r>
      <w:r>
        <w:rPr>
          <w:rFonts w:hint="eastAsia" w:ascii="宋体" w:hAnsi="宋体" w:eastAsia="宋体" w:cs="宋体"/>
          <w:color w:val="auto"/>
          <w:sz w:val="24"/>
          <w:szCs w:val="24"/>
          <w:highlight w:val="none"/>
          <w:u w:val="single"/>
        </w:rPr>
        <w:t xml:space="preserve">苏州正杰招投标咨询服务有限公司</w:t>
      </w:r>
      <w:r>
        <w:rPr>
          <w:rFonts w:hint="eastAsia" w:ascii="宋体" w:hAnsi="宋体" w:eastAsia="宋体" w:cs="宋体"/>
          <w:color w:val="auto"/>
          <w:sz w:val="24"/>
          <w:szCs w:val="24"/>
          <w:highlight w:val="none"/>
        </w:rPr>
        <w:t xml:space="preserve">以</w:t>
      </w:r>
      <w:r>
        <w:rPr>
          <w:rFonts w:hint="eastAsia" w:ascii="宋体" w:hAnsi="宋体" w:eastAsia="宋体" w:cs="宋体"/>
          <w:color w:val="auto"/>
          <w:sz w:val="24"/>
          <w:szCs w:val="24"/>
          <w:highlight w:val="none"/>
          <w:lang w:val="en-US" w:eastAsia="zh-CN"/>
        </w:rPr>
        <w:t xml:space="preserve">公开招标</w:t>
      </w:r>
      <w:r>
        <w:rPr>
          <w:rFonts w:hint="eastAsia" w:ascii="宋体" w:hAnsi="宋体" w:eastAsia="宋体" w:cs="宋体"/>
          <w:color w:val="auto"/>
          <w:sz w:val="24"/>
          <w:szCs w:val="24"/>
          <w:highlight w:val="none"/>
        </w:rPr>
        <w:t xml:space="preserve">方式进行采购</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并依法确定乙方为</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b w:val="0"/>
          <w:bCs/>
          <w:color w:val="auto"/>
          <w:sz w:val="24"/>
          <w:szCs w:val="24"/>
          <w:highlight w:val="none"/>
          <w:lang w:val="en-US" w:eastAsia="zh-CN"/>
        </w:rPr>
        <w:t xml:space="preserve">单位</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根据《中华人民共和国民法典》和《中华人民共和国政府采购法》等有关法律法规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为明确甲方和乙方</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过程中的权利、义务和经济责任</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双方遵循平等、自愿、公平和诚实信用原则</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经友好协商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同意按照下面的条款和条件订立本合同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以资共同遵守。</w:t>
      </w:r>
      <w:r/>
    </w:p>
    <w:p>
      <w:pPr>
        <w:ind w:firstLine="482"/>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一、合同文件</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以下文件是构成本合同不可分割的部分：</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（一）本项目</w:t>
      </w:r>
      <w:r>
        <w:rPr>
          <w:rFonts w:hint="eastAsia" w:ascii="宋体" w:hAnsi="宋体" w:eastAsia="宋体" w:cs="宋体"/>
          <w:bCs/>
          <w:color w:val="auto"/>
          <w:sz w:val="24"/>
          <w:szCs w:val="24"/>
          <w:highlight w:val="none"/>
          <w:lang w:val="en-US" w:eastAsia="zh-CN"/>
        </w:rPr>
        <w:t xml:space="preserve">招标</w:t>
      </w:r>
      <w:r>
        <w:rPr>
          <w:rFonts w:hint="eastAsia" w:ascii="宋体" w:hAnsi="宋体" w:eastAsia="宋体" w:cs="宋体"/>
          <w:bCs/>
          <w:color w:val="auto"/>
          <w:sz w:val="24"/>
          <w:szCs w:val="24"/>
          <w:highlight w:val="none"/>
        </w:rPr>
        <w:t xml:space="preserve">文件；</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（二）</w:t>
      </w:r>
      <w:r>
        <w:rPr>
          <w:rFonts w:hint="eastAsia" w:ascii="宋体" w:hAnsi="宋体" w:eastAsia="宋体" w:cs="宋体"/>
          <w:bCs/>
          <w:color w:val="auto"/>
          <w:sz w:val="24"/>
          <w:szCs w:val="24"/>
          <w:highlight w:val="none"/>
          <w:lang w:val="en-US" w:eastAsia="zh-CN"/>
        </w:rPr>
        <w:t xml:space="preserve">乙方投标</w:t>
      </w:r>
      <w:r>
        <w:rPr>
          <w:rFonts w:hint="eastAsia" w:ascii="宋体" w:hAnsi="宋体" w:eastAsia="宋体" w:cs="宋体"/>
          <w:bCs/>
          <w:color w:val="auto"/>
          <w:sz w:val="24"/>
          <w:szCs w:val="24"/>
          <w:highlight w:val="none"/>
        </w:rPr>
        <w:t xml:space="preserve">文件；</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（三）合同条款；</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（四）</w:t>
      </w:r>
      <w:r>
        <w:rPr>
          <w:rFonts w:hint="eastAsia" w:ascii="宋体" w:hAnsi="宋体" w:eastAsia="宋体" w:cs="宋体"/>
          <w:bCs/>
          <w:color w:val="auto"/>
          <w:sz w:val="24"/>
          <w:szCs w:val="24"/>
          <w:highlight w:val="none"/>
          <w:lang w:val="en-US" w:eastAsia="zh-CN"/>
        </w:rPr>
        <w:t xml:space="preserve">乙方</w:t>
      </w:r>
      <w:r>
        <w:rPr>
          <w:rFonts w:hint="eastAsia" w:ascii="宋体" w:hAnsi="宋体" w:eastAsia="宋体" w:cs="宋体"/>
          <w:bCs/>
          <w:color w:val="auto"/>
          <w:sz w:val="24"/>
          <w:szCs w:val="24"/>
          <w:highlight w:val="none"/>
        </w:rPr>
        <w:t xml:space="preserve">做出的有关澄清、说明或者补正文件</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若有</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（五）确定</w:t>
      </w:r>
      <w:r>
        <w:rPr>
          <w:rFonts w:hint="eastAsia" w:ascii="宋体" w:hAnsi="宋体" w:eastAsia="宋体" w:cs="宋体"/>
          <w:bCs/>
          <w:color w:val="auto"/>
          <w:sz w:val="24"/>
          <w:szCs w:val="24"/>
          <w:highlight w:val="none"/>
          <w:lang w:val="en-US" w:eastAsia="zh-CN"/>
        </w:rPr>
        <w:t xml:space="preserve">乙方</w:t>
      </w:r>
      <w:r>
        <w:rPr>
          <w:rFonts w:hint="eastAsia" w:ascii="宋体" w:hAnsi="宋体" w:eastAsia="宋体" w:cs="宋体"/>
          <w:bCs/>
          <w:color w:val="auto"/>
          <w:sz w:val="24"/>
          <w:szCs w:val="24"/>
          <w:highlight w:val="none"/>
        </w:rPr>
        <w:t xml:space="preserve">的文件（包括但不限于</w:t>
      </w:r>
      <w:r>
        <w:rPr>
          <w:rFonts w:hint="eastAsia" w:ascii="宋体" w:hAnsi="宋体" w:eastAsia="宋体" w:cs="宋体"/>
          <w:bCs/>
          <w:color w:val="auto"/>
          <w:sz w:val="24"/>
          <w:szCs w:val="24"/>
          <w:highlight w:val="none"/>
          <w:lang w:val="en-US" w:eastAsia="zh-CN"/>
        </w:rPr>
        <w:t xml:space="preserve">中标</w:t>
      </w:r>
      <w:r>
        <w:rPr>
          <w:rFonts w:hint="eastAsia" w:ascii="宋体" w:hAnsi="宋体" w:eastAsia="宋体" w:cs="宋体"/>
          <w:bCs/>
          <w:color w:val="auto"/>
          <w:sz w:val="24"/>
          <w:szCs w:val="24"/>
          <w:highlight w:val="none"/>
        </w:rPr>
        <w:t xml:space="preserve">通知书等）；</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（六）本合同附件</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若有</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t>
      </w:r>
      <w:r/>
    </w:p>
    <w:p>
      <w:pPr>
        <w:ind w:firstLine="482"/>
        <w:keepLines w:val="0"/>
        <w:keepNext w:val="0"/>
        <w:pageBreakBefore w:val="0"/>
        <w:spacing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rPr>
        <w:t xml:space="preserve">二、服务内容</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本合同项下乙方所提供的服务内容为：详见</w:t>
      </w:r>
      <w:r>
        <w:rPr>
          <w:rFonts w:hint="eastAsia" w:ascii="宋体" w:hAnsi="宋体" w:eastAsia="宋体" w:cs="宋体"/>
          <w:bCs/>
          <w:color w:val="auto"/>
          <w:sz w:val="24"/>
          <w:szCs w:val="24"/>
          <w:highlight w:val="none"/>
          <w:lang w:val="en-US" w:eastAsia="zh-CN"/>
        </w:rPr>
        <w:t xml:space="preserve">招标</w:t>
      </w:r>
      <w:r>
        <w:rPr>
          <w:rFonts w:hint="eastAsia" w:ascii="宋体" w:hAnsi="宋体" w:eastAsia="宋体" w:cs="宋体"/>
          <w:bCs/>
          <w:color w:val="auto"/>
          <w:sz w:val="24"/>
          <w:szCs w:val="24"/>
          <w:highlight w:val="none"/>
        </w:rPr>
        <w:t xml:space="preserve">文件中的采购需求。</w:t>
      </w:r>
      <w:r/>
    </w:p>
    <w:p>
      <w:pPr>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
          <w:color w:val="auto"/>
          <w:sz w:val="24"/>
          <w:szCs w:val="24"/>
          <w:highlight w:val="none"/>
        </w:rPr>
        <w:t xml:space="preserve">三、合同金额：</w:t>
      </w:r>
      <w:r>
        <w:rPr>
          <w:rFonts w:hint="eastAsia" w:ascii="宋体" w:hAnsi="宋体" w:eastAsia="宋体" w:cs="宋体"/>
          <w:bCs/>
          <w:color w:val="auto"/>
          <w:sz w:val="24"/>
          <w:szCs w:val="24"/>
          <w:highlight w:val="none"/>
        </w:rPr>
        <w:t xml:space="preserve"> </w:t>
      </w:r>
      <w:r/>
    </w:p>
    <w:p>
      <w:pPr>
        <w:ind w:firstLine="482"/>
        <w:keepLines w:val="0"/>
        <w:keepNext w:val="0"/>
        <w:pageBreakBefore w:val="0"/>
        <w:spacing w:line="360" w:lineRule="auto"/>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rPr>
        <w:t xml:space="preserve">合同总金额为</w:t>
      </w:r>
      <w:r>
        <w:rPr>
          <w:rFonts w:hint="eastAsia" w:ascii="宋体" w:hAnsi="宋体" w:eastAsia="宋体" w:cs="宋体"/>
          <w:b/>
          <w:color w:val="auto"/>
          <w:sz w:val="24"/>
          <w:szCs w:val="24"/>
          <w:highlight w:val="none"/>
          <w:u w:val="single"/>
        </w:rPr>
        <w:t xml:space="preserve">人民币          元，大写：        。</w:t>
      </w:r>
      <w:r/>
    </w:p>
    <w:p>
      <w:pPr>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合同金额包括完成所有采购内容以及本项目所需的劳务支出、保险、配套费用、税费及服务相关等所发生的全部费用以及</w:t>
      </w:r>
      <w:r>
        <w:rPr>
          <w:rFonts w:hint="eastAsia" w:ascii="宋体" w:hAnsi="宋体" w:eastAsia="宋体" w:cs="宋体"/>
          <w:b/>
          <w:bCs w:val="0"/>
          <w:color w:val="auto"/>
          <w:sz w:val="24"/>
          <w:szCs w:val="24"/>
          <w:highlight w:val="none"/>
          <w:lang w:val="en-US" w:eastAsia="zh-CN"/>
        </w:rPr>
        <w:t xml:space="preserve">乙方</w:t>
      </w:r>
      <w:r>
        <w:rPr>
          <w:rFonts w:hint="eastAsia" w:ascii="宋体" w:hAnsi="宋体" w:eastAsia="宋体" w:cs="宋体"/>
          <w:b/>
          <w:bCs w:val="0"/>
          <w:color w:val="auto"/>
          <w:sz w:val="24"/>
          <w:szCs w:val="24"/>
          <w:highlight w:val="none"/>
        </w:rPr>
        <w:t xml:space="preserve">企业利润、税金和政策性文件规定及合同包含的所有风险、责任等各项应有费用。除非因特殊原因并经买卖双方协商同意，乙方不得再要求追加任何费用。同时，除非合同条款中另有规定，否则，乙方所报价格在合同实施期间不因市场变化因素而变动。</w:t>
      </w:r>
      <w:r/>
    </w:p>
    <w:p>
      <w:pPr>
        <w:ind w:firstLine="482"/>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四、付款约定</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1、甲方根据乙方在本合同中所提供银行开户信息转账支付。</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乙方开户名称：</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开户银行：</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银行账号：</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乙方银行账户如需变更</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应至少于付款期限届满前10个工作日书面通知甲方</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否则产生的一切责任、因变更引起的额外费用由乙方承担。</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2、付款步骤：</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（1）合同生效后，由甲方在十五个工作日内向乙方支付合同金额的20％作为预付款。</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（2）待乙方完成全部采购内容的50％并经甲方确认后，由甲方在十五个工作日内向乙方支付合同金额的30％；</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（3）待乙方完成全部采购内容并经甲方验收合格后，由甲方在十五个工作日内向乙方支付合同金额的50％。</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注：甲方每次付款前</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乙方均应当向甲方开具等额、合法的发票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否则甲方有权延迟付款且无须承担任何责任。</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五、服务履行地点、期限</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1、服务履行地点：</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指定地点（苏州大市范围内）</w:t>
      </w:r>
      <w:r>
        <w:rPr>
          <w:rFonts w:hint="eastAsia" w:ascii="宋体" w:hAnsi="宋体" w:eastAsia="宋体" w:cs="宋体"/>
          <w:bCs/>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2、服务期限：</w:t>
      </w:r>
      <w:r>
        <w:rPr>
          <w:rFonts w:hint="eastAsia" w:ascii="宋体" w:hAnsi="宋体" w:eastAsia="宋体" w:cs="宋体"/>
          <w:color w:val="auto"/>
          <w:sz w:val="24"/>
          <w:szCs w:val="24"/>
          <w:highlight w:val="none"/>
          <w:lang w:eastAsia="zh-CN"/>
        </w:rPr>
        <w:t xml:space="preserve">自合同生效之日起至2026年12月31日止</w:t>
      </w:r>
      <w:r>
        <w:rPr>
          <w:rFonts w:hint="eastAsia" w:ascii="宋体" w:hAnsi="宋体" w:eastAsia="宋体" w:cs="宋体"/>
          <w:color w:val="auto"/>
          <w:sz w:val="24"/>
          <w:szCs w:val="24"/>
          <w:highlight w:val="none"/>
        </w:rPr>
        <w:t xml:space="preserve">。</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六、服务要求</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Times New Roman"/>
          <w:color w:val="auto"/>
          <w:sz w:val="24"/>
          <w:szCs w:val="24"/>
          <w:highlight w:val="none"/>
          <w:lang w:val="en-US" w:eastAsia="zh-CN"/>
        </w:rPr>
        <w:t xml:space="preserve">乙方</w:t>
      </w:r>
      <w:r>
        <w:rPr>
          <w:rFonts w:hint="eastAsia" w:ascii="宋体" w:hAnsi="宋体" w:eastAsia="宋体" w:cs="Times New Roman"/>
          <w:color w:val="auto"/>
          <w:sz w:val="24"/>
          <w:szCs w:val="24"/>
          <w:highlight w:val="none"/>
        </w:rPr>
        <w:t xml:space="preserve">须为本项目提供每周5个工作日×12小时的免费服务热线，并须在1小时响应、2小时到场、24小时解决售后问题</w:t>
      </w:r>
      <w:r>
        <w:rPr>
          <w:rFonts w:hint="eastAsia" w:ascii="宋体" w:hAnsi="宋体" w:eastAsia="宋体" w:cs="宋体"/>
          <w:color w:val="auto"/>
          <w:sz w:val="24"/>
          <w:szCs w:val="24"/>
          <w:highlight w:val="none"/>
        </w:rPr>
        <w:t xml:space="preserve">。</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七、验收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1、验收要求参照《江苏省政府采购履约验收管理办法》相关要求执行。</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2、验收标准：本合同政府采购招标文件中项目招标书的各项标准和要求。</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3、任一项验收不合格的</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乙方应负责在甲方限定的期限内完成整改</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因整改而导致的费用和损失由乙方自行承担</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若导致项目逾期的</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乙方承担逾期违约责任。</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4、甲方所有验收意见将以书面形式做出并加盖甲方公章</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因此除非甲方书面明示通过验收</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否则任何其他行为均不代表甲方已验收合格。</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八、服务质量</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1、乙方应保证提供给甲方的服务完全符合本项目</w:t>
      </w:r>
      <w:r>
        <w:rPr>
          <w:rFonts w:hint="eastAsia" w:ascii="宋体" w:hAnsi="宋体" w:eastAsia="宋体" w:cs="宋体"/>
          <w:bCs/>
          <w:color w:val="auto"/>
          <w:sz w:val="24"/>
          <w:szCs w:val="24"/>
          <w:highlight w:val="none"/>
          <w:lang w:val="en-US" w:eastAsia="zh-CN"/>
        </w:rPr>
        <w:t xml:space="preserve">招标</w:t>
      </w:r>
      <w:r>
        <w:rPr>
          <w:rFonts w:hint="eastAsia" w:ascii="宋体" w:hAnsi="宋体" w:eastAsia="宋体" w:cs="宋体"/>
          <w:bCs/>
          <w:color w:val="auto"/>
          <w:sz w:val="24"/>
          <w:szCs w:val="24"/>
          <w:highlight w:val="none"/>
        </w:rPr>
        <w:t xml:space="preserve">文件规定的服务标准。</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2、乙方应保证提供的服务应符合中华人民共和国相关标准及相应的技术规范、本次采购相关文件中的全部相关要求及相关标准及相应的技术规范中之较高者。</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3、乙方保证提供的服务符合中华人民共和国国家及行业的安全质量标准、环保标准中之较高者。</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4、乙方保证</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乙方依据本合同提供的服务及相关的软件和技术资料</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乙方均已得到有关知识产权的权利人的合法授权</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如发生涉及到专利权、著作权、商标权等争议</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乙方负责处理</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并承担由此引起的全部法律及经济责任。</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5、乙方应保证甲方在中国境内使用服务或服务的任何一部分时</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免受第三方提出的侵犯其知识产权的诉讼。如甲方因本合同项下服务成果的知识产权原因而受到第三方的索赔请求</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乙方应负责处理</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并承担甲方因此发生的全部费用及损失。</w:t>
      </w:r>
      <w:r/>
    </w:p>
    <w:p>
      <w:pPr>
        <w:ind w:firstLine="482"/>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
          <w:color w:val="auto"/>
          <w:sz w:val="24"/>
          <w:szCs w:val="24"/>
          <w:highlight w:val="none"/>
        </w:rPr>
        <w:t xml:space="preserve">九、履约保证金</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lang w:val="en-US" w:eastAsia="zh-CN"/>
        </w:rPr>
        <w:t xml:space="preserve">无。</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十、违约责任</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合同一方不履行合同义务或者履行合同义务不符合约定的</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应当承担继续履行、采取补救措施或者赔偿损失等违约责任。</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1、甲方违约责任</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 在合同生效后</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甲方无故要求终止服务的</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应向乙方偿付合同总价款的5</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作为违约金</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违约金不足以补偿损失的</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乙方有权要求甲方补足。</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1.2 甲方逾期付款的应按照逾期付款金额的每天万分之四支付逾期付款违约金。</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1.3 甲方违反合同约定</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拒绝接受乙方交付的合格服务的</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应当承担乙方由此造成的损失。</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2、乙方违约责任</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2.1 乙方不能服务（逾期超过24小时视为不能服务）</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或服务不合格从而影响甲方按期正常使用的</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甲方有权解除合同</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乙方向甲方赔偿合同总价款5</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的违约金</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违约金不足以补偿损失的甲方有权要求乙方补足。</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2.2 乙方逾期提供服务的</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应在服务前与甲方和招标代理协商</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甲方仍需求的</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乙方应立即提供服务并应按照逾期服务部分贷款的每天万分之四支付逾期服务违约金</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同时承担甲方因此遭致的损失费用。</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3、如果出现政府采购监管部门在处理投诉事项期间</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通知甲方暂停采购活动的情形</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或者询问或质疑事项可能影响最终成交结果的</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导致甲方中止履行合同的情形</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均不视为甲方违约。</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十一、合同的解除和转让</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1、甲方和乙方协商一致</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可以解除合同。</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2、有下列情形之一</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合同一方可以解除合同：</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（1）因不可抗力致使不能实现合同目的</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未受不可抗力影响的一方有权解除合同；</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（2）招标文件约定的解除合同的情形。</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3、政府采购合同继续履行将损害国家利益和社会公共利益</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甲方有权变更、中止或者终止、解除合同。</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4、乙方提交的投标材料虚假</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或者乙方故意隐瞒足以导致不能中标的事实被发现的</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甲方可以单方解除本合同</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由此造成甲方的损失由乙方承担赔偿（包括但不限于诉讼费、合理律师费等）。</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5、本合同不得以任何形式转让</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否则视为乙方违约</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甲方可以单方解除本合同</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由此造成甲方的损失由乙方承担赔偿（包括但不限于诉讼费、合理律师费等）。</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6、本合同未经甲方书面同意不得分包</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否则视为乙方违约</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甲方可以单方解除本合同</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由此造成甲方的损失由乙方承担赔偿（包括但不限于诉讼费、合理律师费等）。</w:t>
      </w:r>
      <w:r/>
    </w:p>
    <w:p>
      <w:pPr>
        <w:pStyle w:val="982"/>
        <w:ind w:firstLine="480"/>
        <w:spacing w:line="360" w:lineRule="auto"/>
        <w:rPr>
          <w:rFonts w:hint="eastAsia" w:ascii="宋体" w:hAnsi="宋体" w:eastAsia="宋体" w:cs="宋体"/>
          <w:color w:val="auto"/>
          <w:highlight w:val="none"/>
        </w:rPr>
      </w:pPr>
      <w:r>
        <w:rPr>
          <w:rFonts w:hint="eastAsia" w:ascii="宋体" w:hAnsi="宋体" w:eastAsia="宋体" w:cs="宋体"/>
          <w:color w:val="auto"/>
          <w:szCs w:val="24"/>
          <w:highlight w:val="none"/>
        </w:rPr>
        <w:t xml:space="preserve">7、有权解除合同的一方</w:t>
      </w:r>
      <w:r>
        <w:rPr>
          <w:rFonts w:hint="eastAsia" w:ascii="宋体" w:hAnsi="宋体" w:eastAsia="宋体" w:cs="宋体"/>
          <w:color w:val="auto"/>
          <w:szCs w:val="24"/>
          <w:highlight w:val="none"/>
          <w:lang w:eastAsia="zh-CN"/>
        </w:rPr>
        <w:t xml:space="preserve">，</w:t>
      </w:r>
      <w:r>
        <w:rPr>
          <w:rFonts w:hint="eastAsia" w:ascii="宋体" w:hAnsi="宋体" w:eastAsia="宋体" w:cs="宋体"/>
          <w:color w:val="auto"/>
          <w:szCs w:val="24"/>
          <w:highlight w:val="none"/>
        </w:rPr>
        <w:t xml:space="preserve">应当在违约事实或不可抗力发生之后三十天内书面通知对方以主张解除合同</w:t>
      </w:r>
      <w:r>
        <w:rPr>
          <w:rFonts w:hint="eastAsia" w:ascii="宋体" w:hAnsi="宋体" w:eastAsia="宋体" w:cs="宋体"/>
          <w:color w:val="auto"/>
          <w:szCs w:val="24"/>
          <w:highlight w:val="none"/>
          <w:lang w:eastAsia="zh-CN"/>
        </w:rPr>
        <w:t xml:space="preserve">，</w:t>
      </w:r>
      <w:r>
        <w:rPr>
          <w:rFonts w:hint="eastAsia" w:ascii="宋体" w:hAnsi="宋体" w:eastAsia="宋体" w:cs="宋体"/>
          <w:color w:val="auto"/>
          <w:szCs w:val="24"/>
          <w:highlight w:val="none"/>
        </w:rPr>
        <w:t xml:space="preserve">合同在书面通知到达对方时解除。</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十二、不可抗力</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1、不可抗力指下列事件：战争、动乱、瘟疫、严重火灾、洪水、地震、风暴或其他自然灾害</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以及本合同各方不可预见、不可防止并不能避免或克服的一切其他因素及事件。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2、任何一方因不可抗力不能履行本合同规定的全部或部分义务</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该方应尽快通知另一方</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并须在不可抗力发生后7日内以书面形式向另一方提供详细情况报告及不可抗力对履行本合同的影响程度的说明。就上述不可抗力的发生须由受到不可抗力影响的一方负责同时提供由公证机关做出的公证证明。</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3、发生不可抗力事件</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任何一方均不对因不可抗力无法履行或迟延履行本合同义务而使另一方蒙受的任何损失承担责任。但遭受不可抗力影响的一方有责任尽可能及时采取适当或必要措施减少或消除不可抗力的影响。遭受不可抗力影响的一方对因未尽本项责任而造成的相关损失承担责任。合同一方因不可抗力不能履行本合同的</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应当及时通知对方</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以减轻可能给对方造成的损失</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并应当在不可抗力发生之日起15日内提供权威部门出具的认定不可抗力的证明。</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4、合同各方应根据不可抗力对本合同履行的影响程度</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协商确定是否终止本合同</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或是继续履行本合同。</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5、本合同在执行过程中如遇政府征用土地或其他甲方不能预见的情形发生致使本合同无法履行</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应视为不可抗力事件</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甲方免责。本合同终止后甲方应支付乙方实际履行时间（天数）的服务款项（单价不予调整）。</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十三、保密条款</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1、任何一方对其获知的本合同及附件中其他各方的商业秘密和国家秘密等非公开信息负有保密义务。</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2、在下列情形下：当国家机关调查、审查、审计时</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以及其他符合法律规定的情形下</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无须事先征求乙方同意而可以披露关于采购过程、合同文本、签署情况的资料、乙方的名称及地址、采购内容的有关信息以及补充条款等</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但应当在合理的必要范围内。对任何已经公布过的内容或与之内容相同的资料</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以及乙方已经泄露或公开的</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无须再承担保密责任。</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3、此外的其他情形下</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除非法律、法规另有规定或得到本合同之其他各方的书面许可</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任何一方不得向第三人泄露前款规定的商业秘密和国家秘密等非公开信息。保密期限自任何一方获知该商业秘密和国家秘密等非公开信息之日起至本条规定的秘密成为公开信息之日止。</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十四、联系方式</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1、合同双方发出与本合同有关的通知或回复</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应以专人送递、传真或特快专递方式发出；如果以专人送递或特快专递发送</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以送达至对方的住所地或通讯联络地为送达；如果以传真方式发送</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发件人在收到传真报告后视为送达；如果采用电话或电子邮件的方式</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则应在发送后由对方以书面方式予以确认。</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2、合同双方发出的与本合同有关的通知或回复均应发至本合同首部载明的通讯地址</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一方变更通讯地址</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应自变更之日起3个工作日内</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将变更后的地址通知对方。变更方不履行通知义务的</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应对此造成的一切后果承担法律责任。</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3、上述发出通知、回复的费用由发出一方承担。</w:t>
      </w:r>
      <w:r/>
    </w:p>
    <w:p>
      <w:pPr>
        <w:ind w:firstLine="482"/>
        <w:spacing w:line="360" w:lineRule="auto"/>
        <w:rPr>
          <w:rFonts w:hint="eastAsia" w:ascii="宋体" w:hAnsi="宋体" w:eastAsia="宋体" w:cs="宋体"/>
          <w:b/>
          <w:color w:val="auto"/>
          <w:sz w:val="24"/>
          <w:szCs w:val="24"/>
          <w:highlight w:val="none"/>
        </w:rPr>
      </w:pPr>
      <w:r/>
      <w:bookmarkStart w:id="14" w:name="_Toc32454"/>
      <w:r/>
      <w:bookmarkStart w:id="15" w:name="_Toc30329"/>
      <w:r/>
      <w:bookmarkStart w:id="16" w:name="_Toc51257766"/>
      <w:r/>
      <w:bookmarkStart w:id="17" w:name="_Toc9497"/>
      <w:r/>
      <w:bookmarkStart w:id="18" w:name="_Toc26807"/>
      <w:r/>
      <w:bookmarkStart w:id="19" w:name="_Toc18683"/>
      <w:r>
        <w:rPr>
          <w:rFonts w:hint="eastAsia" w:ascii="宋体" w:hAnsi="宋体" w:eastAsia="宋体" w:cs="宋体"/>
          <w:b/>
          <w:color w:val="auto"/>
          <w:sz w:val="24"/>
          <w:szCs w:val="24"/>
          <w:highlight w:val="none"/>
        </w:rPr>
        <w:t xml:space="preserve">十五、争议的解决</w:t>
      </w:r>
      <w:bookmarkEnd w:id="14"/>
      <w:r/>
      <w:bookmarkEnd w:id="15"/>
      <w:r/>
      <w:bookmarkEnd w:id="16"/>
      <w:r/>
      <w:bookmarkEnd w:id="17"/>
      <w:r/>
      <w:bookmarkEnd w:id="18"/>
      <w:r/>
      <w:bookmarkEnd w:id="19"/>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与本合同有关的一切争议</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双方应通过友好协商解决。如果经协商不能达成协议</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可以向甲方所在地有管辖权的人民法院起诉。</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十六、合同生效及其他</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1、本合同经甲乙双方签</w:t>
      </w:r>
      <w:r>
        <w:rPr>
          <w:rFonts w:hint="eastAsia" w:ascii="宋体" w:hAnsi="宋体" w:eastAsia="宋体" w:cs="宋体"/>
          <w:bCs/>
          <w:color w:val="auto"/>
          <w:sz w:val="24"/>
          <w:szCs w:val="24"/>
          <w:highlight w:val="none"/>
          <w:lang w:val="en-US" w:eastAsia="zh-CN"/>
        </w:rPr>
        <w:t xml:space="preserve">字盖</w:t>
      </w:r>
      <w:r>
        <w:rPr>
          <w:rFonts w:hint="eastAsia" w:ascii="宋体" w:hAnsi="宋体" w:eastAsia="宋体" w:cs="宋体"/>
          <w:bCs/>
          <w:color w:val="auto"/>
          <w:sz w:val="24"/>
          <w:szCs w:val="24"/>
          <w:highlight w:val="none"/>
        </w:rPr>
        <w:t xml:space="preserve">章之日起生效。</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2、本合同系指本文件及其附件中的所有部分</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招标文件、</w:t>
      </w:r>
      <w:r>
        <w:rPr>
          <w:rFonts w:hint="eastAsia" w:ascii="宋体" w:hAnsi="宋体" w:eastAsia="宋体" w:cs="宋体"/>
          <w:bCs/>
          <w:color w:val="auto"/>
          <w:sz w:val="24"/>
          <w:szCs w:val="24"/>
          <w:highlight w:val="none"/>
          <w:lang w:val="en-US" w:eastAsia="zh-CN"/>
        </w:rPr>
        <w:t xml:space="preserve">中标</w:t>
      </w:r>
      <w:r>
        <w:rPr>
          <w:rFonts w:hint="eastAsia" w:ascii="宋体" w:hAnsi="宋体" w:eastAsia="宋体" w:cs="宋体"/>
          <w:bCs/>
          <w:color w:val="auto"/>
          <w:sz w:val="24"/>
          <w:szCs w:val="24"/>
          <w:highlight w:val="none"/>
        </w:rPr>
        <w:t xml:space="preserve">的</w:t>
      </w:r>
      <w:r>
        <w:rPr>
          <w:rFonts w:hint="eastAsia" w:ascii="宋体" w:hAnsi="宋体" w:eastAsia="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rPr>
        <w:t xml:space="preserve">文件、</w:t>
      </w:r>
      <w:r>
        <w:rPr>
          <w:rFonts w:hint="eastAsia" w:ascii="宋体" w:hAnsi="宋体" w:eastAsia="宋体" w:cs="宋体"/>
          <w:bCs/>
          <w:color w:val="auto"/>
          <w:sz w:val="24"/>
          <w:szCs w:val="24"/>
          <w:highlight w:val="none"/>
          <w:lang w:val="en-US" w:eastAsia="zh-CN"/>
        </w:rPr>
        <w:t xml:space="preserve">中标</w:t>
      </w:r>
      <w:r>
        <w:rPr>
          <w:rFonts w:hint="eastAsia" w:ascii="宋体" w:hAnsi="宋体" w:eastAsia="宋体" w:cs="宋体"/>
          <w:bCs/>
          <w:color w:val="auto"/>
          <w:sz w:val="24"/>
          <w:szCs w:val="24"/>
          <w:highlight w:val="none"/>
        </w:rPr>
        <w:t xml:space="preserve">通知书、</w:t>
      </w:r>
      <w:r>
        <w:rPr>
          <w:rFonts w:hint="eastAsia" w:ascii="宋体" w:hAnsi="宋体" w:eastAsia="宋体" w:cs="宋体"/>
          <w:bCs/>
          <w:color w:val="auto"/>
          <w:sz w:val="24"/>
          <w:szCs w:val="24"/>
          <w:highlight w:val="none"/>
          <w:lang w:val="en-US" w:eastAsia="zh-CN"/>
        </w:rPr>
        <w:t xml:space="preserve">乙方</w:t>
      </w:r>
      <w:r>
        <w:rPr>
          <w:rFonts w:hint="eastAsia" w:ascii="宋体" w:hAnsi="宋体" w:eastAsia="宋体" w:cs="宋体"/>
          <w:bCs/>
          <w:color w:val="auto"/>
          <w:sz w:val="24"/>
          <w:szCs w:val="24"/>
          <w:highlight w:val="none"/>
        </w:rPr>
        <w:t xml:space="preserve">在招标过程中的澄清和承诺等为本合同不可缺少的组成部分。本合同履行过程中发生相关修改内容</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须符合《中华人民共和国政府采购法》和相关法律法规规定；补充协议作为本合同不可分割的一部分。</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3、本合同壹式肆份</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甲乙双方各执壹份</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采购代理机构贰份</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具有同等法律效力。</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4、本合同应按照中华人民共和国的现行法律进行解释。</w:t>
      </w:r>
      <w:r/>
    </w:p>
    <w:p>
      <w:pPr>
        <w:pStyle w:val="931"/>
        <w:ind w:left="0" w:firstLine="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甲    方：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乙    方：</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名称(公章)：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名称(公章)：</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法定代表人/负责人：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法定代表人/负责人：</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或授权代理人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 或授权代理人：</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（签字）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（签字）</w:t>
      </w:r>
      <w:r/>
    </w:p>
    <w:p>
      <w:pPr>
        <w:ind w:firstLine="480"/>
        <w:spacing w:line="360" w:lineRule="auto"/>
        <w:rPr>
          <w:rFonts w:hint="eastAsia" w:ascii="宋体" w:hAnsi="宋体" w:eastAsia="宋体" w:cs="宋体"/>
          <w:b/>
          <w:bCs w:val="0"/>
          <w:color w:val="auto"/>
          <w:sz w:val="24"/>
          <w:szCs w:val="24"/>
          <w:highlight w:val="none"/>
        </w:rPr>
        <w:sectPr>
          <w:footnotePr/>
          <w:endnotePr/>
          <w:type w:val="nextPage"/>
          <w:pgSz w:w="11906" w:h="16838" w:orient="portrait"/>
          <w:pgMar w:top="1134" w:right="1134" w:bottom="1134" w:left="1134" w:header="851" w:footer="992" w:gutter="0"/>
          <w:cols w:num="1" w:sep="0" w:space="720" w:equalWidth="1"/>
          <w:docGrid w:linePitch="360"/>
        </w:sectPr>
      </w:pPr>
      <w:r>
        <w:rPr>
          <w:rFonts w:hint="eastAsia" w:ascii="宋体" w:hAnsi="宋体" w:eastAsia="宋体" w:cs="宋体"/>
          <w:bCs/>
          <w:color w:val="auto"/>
          <w:sz w:val="24"/>
          <w:szCs w:val="24"/>
          <w:highlight w:val="none"/>
        </w:rPr>
        <w:t xml:space="preserve">签订日期：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签订日期：</w:t>
      </w:r>
      <w:r/>
    </w:p>
    <w:p>
      <w:pPr>
        <w:jc w:val="center"/>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第六章 </w:t>
      </w:r>
      <w:r>
        <w:rPr>
          <w:rFonts w:hint="eastAsia" w:ascii="宋体" w:hAnsi="宋体" w:eastAsia="宋体" w:cs="宋体"/>
          <w:b/>
          <w:bCs w:val="0"/>
          <w:color w:val="auto"/>
          <w:sz w:val="24"/>
          <w:szCs w:val="24"/>
          <w:highlight w:val="none"/>
          <w:lang w:val="en-US" w:eastAsia="zh-CN"/>
        </w:rPr>
        <w:t xml:space="preserve">评分方法和</w:t>
      </w:r>
      <w:r>
        <w:rPr>
          <w:rFonts w:hint="eastAsia" w:ascii="宋体" w:hAnsi="宋体" w:eastAsia="宋体" w:cs="宋体"/>
          <w:b/>
          <w:bCs w:val="0"/>
          <w:color w:val="auto"/>
          <w:sz w:val="24"/>
          <w:szCs w:val="24"/>
          <w:highlight w:val="none"/>
        </w:rPr>
        <w:t xml:space="preserve">评分标准</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一、评</w:t>
      </w:r>
      <w:r>
        <w:rPr>
          <w:rFonts w:hint="eastAsia" w:ascii="宋体" w:hAnsi="宋体" w:eastAsia="宋体" w:cs="宋体"/>
          <w:b/>
          <w:color w:val="auto"/>
          <w:sz w:val="24"/>
          <w:szCs w:val="24"/>
          <w:highlight w:val="none"/>
          <w:lang w:val="en-US" w:eastAsia="zh-CN"/>
        </w:rPr>
        <w:t xml:space="preserve">分方法</w:t>
      </w:r>
      <w:r>
        <w:rPr>
          <w:rFonts w:hint="eastAsia" w:ascii="宋体" w:hAnsi="宋体" w:eastAsia="宋体" w:cs="宋体"/>
          <w:b/>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1、本次招标评标采用为综合评分法，即指投标文件满足招标文件全部实质性要求，且按照评审因素的量化指标评审得分最高的投标人为中标候选人的评标方法。</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2、评标委员会各成员审查每份投标文件是否实质响应了招标文件的要求，非实质性响应的投标文件将被拒绝，也不进行评审。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3、评标委员会各成员独立对每个进入打分程序的有效投标人的标书技术部分以打分的形式进行评审和评价。对评委的评分进行统计汇总时算术平均计算得分（计算结果均四舍五入保留两位小数）。</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评委评审得分和投标报价得分相加为投标人的评标总得分。如出现评标总得分最高的投标人有两个或两个以上的，以投标报价较低者优先作为中标候选人；如果投标报价也相同的，则由评标委员会组织以抽签方式确定。</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二、评分标准：</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总分值为100分，评审因素及各比重如下：价格分值占总分值的比重为</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％（权重），技术及其他分值占总分值的比重为</w:t>
      </w:r>
      <w:r>
        <w:rPr>
          <w:rFonts w:hint="eastAsia" w:ascii="宋体" w:hAnsi="宋体" w:eastAsia="宋体" w:cs="宋体"/>
          <w:color w:val="auto"/>
          <w:sz w:val="24"/>
          <w:szCs w:val="24"/>
          <w:highlight w:val="none"/>
          <w:lang w:val="en-US" w:eastAsia="zh-CN"/>
        </w:rPr>
        <w:t xml:space="preserve">90</w:t>
      </w:r>
      <w:r>
        <w:rPr>
          <w:rFonts w:hint="eastAsia" w:ascii="宋体" w:hAnsi="宋体" w:eastAsia="宋体" w:cs="宋体"/>
          <w:color w:val="auto"/>
          <w:sz w:val="24"/>
          <w:szCs w:val="24"/>
          <w:highlight w:val="none"/>
        </w:rPr>
        <w:t xml:space="preserve">％（权重）。</w:t>
      </w:r>
      <w:r/>
    </w:p>
    <w:p>
      <w:pPr>
        <w:numPr>
          <w:ilvl w:val="0"/>
          <w:numId w:val="0"/>
        </w:numPr>
        <w:ind w:left="-20" w:firstLine="482"/>
        <w:spacing w:line="360" w:lineRule="auto"/>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（一）</w:t>
      </w:r>
      <w:r>
        <w:rPr>
          <w:rFonts w:hint="eastAsia" w:ascii="宋体" w:hAnsi="宋体" w:eastAsia="宋体" w:cs="宋体"/>
          <w:b/>
          <w:color w:val="auto"/>
          <w:sz w:val="24"/>
          <w:szCs w:val="24"/>
          <w:highlight w:val="none"/>
        </w:rPr>
        <w:t xml:space="preserve">价格分值</w:t>
      </w:r>
      <w:r>
        <w:rPr>
          <w:rFonts w:hint="eastAsia" w:ascii="宋体" w:hAnsi="宋体" w:eastAsia="宋体" w:cs="宋体"/>
          <w:b/>
          <w:color w:val="auto"/>
          <w:sz w:val="24"/>
          <w:szCs w:val="24"/>
          <w:highlight w:val="none"/>
          <w:lang w:val="en-US" w:eastAsia="zh-CN" w:bidi="ar-SA"/>
        </w:rPr>
        <w:t xml:space="preserve">：10分</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第一步：投标报价不高于采购预算及最高限价的为有效报价，超出此范围的投标报价为无效报价，其投标文件不予评审，也不得标。</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第二步：以满足</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文件实质性要求且投标价格最低的投标有效报价为评标基准价，其价格分为满分，即</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分。其他有效投标报价得分统一按照下列公式计算：（计算结果均四舍五入保留两位小数）</w:t>
      </w:r>
      <w:r/>
    </w:p>
    <w:p>
      <w:pPr>
        <w:ind w:firstLine="42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投标报价得分＝（基准报价/投标报价）×</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％×100</w:t>
      </w:r>
      <w:r>
        <w:rPr>
          <w:rFonts w:hint="eastAsia" w:ascii="宋体" w:hAnsi="宋体" w:eastAsia="宋体" w:cs="宋体"/>
          <w:color w:val="auto"/>
          <w:sz w:val="24"/>
          <w:szCs w:val="24"/>
          <w:highlight w:val="none"/>
          <w:lang w:eastAsia="zh-CN"/>
        </w:rPr>
        <w:t xml:space="preserve">。</w:t>
      </w:r>
      <w:r/>
    </w:p>
    <w:p>
      <w:pPr>
        <w:ind w:firstLine="482"/>
        <w:jc w:val="left"/>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（二）技术及其他分值：</w:t>
      </w:r>
      <w:r>
        <w:rPr>
          <w:rFonts w:hint="eastAsia" w:ascii="宋体" w:hAnsi="宋体" w:eastAsia="宋体" w:cs="宋体"/>
          <w:b/>
          <w:bCs w:val="0"/>
          <w:color w:val="auto"/>
          <w:sz w:val="24"/>
          <w:szCs w:val="24"/>
          <w:highlight w:val="none"/>
          <w:lang w:val="en-US" w:eastAsia="zh-CN"/>
        </w:rPr>
        <w:t xml:space="preserve">90</w:t>
      </w:r>
      <w:r>
        <w:rPr>
          <w:rFonts w:hint="eastAsia" w:ascii="宋体" w:hAnsi="宋体" w:eastAsia="宋体" w:cs="宋体"/>
          <w:b/>
          <w:bCs w:val="0"/>
          <w:color w:val="auto"/>
          <w:sz w:val="24"/>
          <w:szCs w:val="24"/>
          <w:highlight w:val="none"/>
        </w:rPr>
        <w:t xml:space="preserve">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1、项目技术及实施方案（27分）：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（1）对现有基准网及变形监测网点位的情况说明，须提供点位选择情况、点标石情况和变形点设计样式，本项最高5分，综合评定：优的得5分；综合评定：良的得3分；综合评定：差的得1分；未提供不得分。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（2）基准网普查复测的情况说明，须考虑与已有城市基准网的衔接，并提供与已有城市基准网衔接方案。本项最高6分，综合评定：优的得6分；综合评定：良的得4分；综合评定：差的得1分；未提供不得分。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（3）提供沉降监测、位移监测、倾斜监测、裂缝监测及主要构部件监测方案。本项最高6分，综合评定：优的得6分；综合评定：良的得4分；综合评定：差的得1分；未提供不得分。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（4）提供振动监测点位布设方案及实施方案。本项最高5分，综合评定：优的得5分；综合评定：良的得3分；综合评定：差的得1分；未提供不得分。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（5）古建筑三维激光扫描监测方案。本项最高5分，综合评定：优的得5分；综合评定：良的得3分；综合评定：差的得1分；未提供不得分。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2、配套服务相关方案，最高23分，其中，</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（1）提供项目管理组织体系说明。本项最高5分，综合评定：优的得5分；综合评定：良的得3分；综合评定：差的得1分；未提供不得分。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（2）提供项目进度控制措施说明。本项最高5分，综合评定：优的得5分；综合评定：良的得3分；综合评定：差的得1分；未提供不得分。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（3）提供项目质量控制措施说明。本项最高5分，综合评定：优的得5分；综合评定：良的得3分；综合评定：差的得1分；未提供不得分。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（4）提供项目安全保障措施说明（突发事故应急预案与处理措施、数据资料管理措施）。本项最高4分，综合评定：优的得4分；综合评定：良的得2分；综合评定：差的得1分；未提供不得分。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（5）投标人承接本项目所具有的技术优势及可提供的本地化服务能力说明。本项最高4分，综合评定：优的得4分；综合评定：良的得2分；综合评定：差的得1分；未提供不得分。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3、项目人员及设备配备方案（20分）：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（1）项目负责人具备：注册测绘师证书；研究员级或正高级工程师职称证书；核心涉密人员培训合格证书；PMP项目管理证书的；每提供一个得1分；本项最高4分。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（2）技术负责人（项目负责人除外）具备：注册测绘师证书；研究员级或正高级工程师职称证书；核心涉密人员培训合格证书；测绘地理信息质检员证书的；每有1个得1分；本项最高4分。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（3）除项目负责人及技术负责人外，其他项目人员具备高级工程师证书、注册测绘师证书的，每有1个得0.5分，最高8分。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（4）配备有地面三维激光扫描仪和手持式三维激光扫描仪的得2分。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（5）配备有古建筑工业测试分析系统的得2分。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上述（1）至（3）项须同时提供人员证书及投标人为其缴纳的最近一个月的社会保险缴纳证明，否则对应内容不得分。上述（4）至（5）项须同时提供由投标人购买的上述相关设备的购置发票，否则对应内容不得分。投标人应保证在投标文件提供的上述资料复印件可清晰辨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4、投标人综合情况评价（20分）：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（1）提供自2023年至今（以合同签订日期为准）由投标人独立承担（非联合体）的类似项目业绩资料，每提供一个得2分，最高12分。投标文件</w:t>
      </w:r>
      <w:r>
        <w:rPr>
          <w:rFonts w:hint="eastAsia" w:ascii="宋体" w:hAnsi="宋体" w:eastAsia="宋体" w:cs="宋体"/>
          <w:color w:val="auto"/>
          <w:sz w:val="24"/>
          <w:szCs w:val="24"/>
          <w:highlight w:val="none"/>
          <w:lang w:val="en-US" w:eastAsia="zh-CN"/>
        </w:rPr>
        <w:t xml:space="preserve">中须</w:t>
      </w:r>
      <w:r>
        <w:rPr>
          <w:rFonts w:hint="eastAsia" w:ascii="宋体" w:hAnsi="宋体" w:eastAsia="宋体" w:cs="宋体"/>
          <w:color w:val="auto"/>
          <w:sz w:val="24"/>
          <w:szCs w:val="24"/>
          <w:highlight w:val="none"/>
        </w:rPr>
        <w:t xml:space="preserve">提供合同复印件，否则对应内容不得分。</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提供</w:t>
      </w:r>
      <w:r>
        <w:rPr>
          <w:rFonts w:hint="eastAsia" w:ascii="宋体" w:hAnsi="宋体" w:eastAsia="宋体" w:cs="宋体"/>
          <w:color w:val="auto"/>
          <w:sz w:val="24"/>
          <w:szCs w:val="24"/>
          <w:highlight w:val="none"/>
        </w:rPr>
        <w:t xml:space="preserve">由投标人独立承担（非联合体）的同类项目获得由政府部门颁发的获奖评定证明的得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本项最高</w:t>
      </w:r>
      <w:r>
        <w:rPr>
          <w:rFonts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（3）提供投标人所具备的与本项目技术及实施相关的计算机软件著作权登记证书，每份1分，最高4分。投标文件</w:t>
      </w:r>
      <w:r>
        <w:rPr>
          <w:rFonts w:hint="eastAsia" w:ascii="宋体" w:hAnsi="宋体" w:eastAsia="宋体" w:cs="宋体"/>
          <w:color w:val="auto"/>
          <w:sz w:val="24"/>
          <w:szCs w:val="24"/>
          <w:highlight w:val="none"/>
          <w:lang w:val="en-US" w:eastAsia="zh-CN"/>
        </w:rPr>
        <w:t xml:space="preserve">中须</w:t>
      </w:r>
      <w:r>
        <w:rPr>
          <w:rFonts w:hint="eastAsia" w:ascii="宋体" w:hAnsi="宋体" w:eastAsia="宋体" w:cs="宋体"/>
          <w:color w:val="auto"/>
          <w:sz w:val="24"/>
          <w:szCs w:val="24"/>
          <w:highlight w:val="none"/>
        </w:rPr>
        <w:t xml:space="preserve">提供软件著作权登记证书复印件，否则对应内容不得分。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评审说明：</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1、综合评定释义：</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综合评定：优，是指方案内容详细完整、技术可行性强、流程标准规范；</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综合评定：良，是指方案内容较为完整、技术可行性一般、流程基本符合规范；</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综合评定：差，是指方案内容简单笼统、技术可行性弱、流程规范性不足。</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其他评标未尽事宜由评标委员会根据有关规定讨论决定。</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2"/>
        <w:spacing w:line="360" w:lineRule="auto"/>
        <w:rPr>
          <w:rFonts w:hint="eastAsia" w:ascii="宋体" w:hAnsi="宋体" w:eastAsia="宋体" w:cs="宋体"/>
          <w:bCs/>
          <w:color w:val="auto"/>
          <w:sz w:val="24"/>
          <w:highlight w:val="none"/>
          <w:lang w:val="en-US" w:eastAsia="zh-CN"/>
        </w:rPr>
      </w:pPr>
      <w:r>
        <w:rPr>
          <w:rFonts w:hint="eastAsia" w:ascii="宋体" w:hAnsi="宋体" w:eastAsia="宋体" w:cs="宋体"/>
          <w:b/>
          <w:color w:val="auto"/>
          <w:sz w:val="24"/>
          <w:szCs w:val="24"/>
          <w:highlight w:val="none"/>
        </w:rPr>
        <w:t xml:space="preserve">三、政府采购政策：</w:t>
      </w:r>
      <w:r/>
    </w:p>
    <w:p>
      <w:pPr>
        <w:ind w:firstLine="480"/>
        <w:spacing w:line="360" w:lineRule="auto"/>
        <w:tabs>
          <w:tab w:val="left" w:pos="287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针对中小型企业的评审：</w:t>
      </w:r>
      <w:r/>
    </w:p>
    <w:p>
      <w:pPr>
        <w:ind w:firstLine="482"/>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（1）本项目专门面向中小企业采购。</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（2）依据《政府采购促进中小企业发展管理办法》规定享受扶持政策获得政府采购合同的</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小微企业不得将合同分包给大中型企业</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中型企业不得将合同分包给大型企业。</w:t>
      </w:r>
      <w:r/>
    </w:p>
    <w:p>
      <w:pPr>
        <w:ind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bCs/>
          <w:color w:val="auto"/>
          <w:sz w:val="24"/>
          <w:szCs w:val="24"/>
          <w:highlight w:val="none"/>
        </w:rPr>
        <w:t xml:space="preserve">（3）本项目采购标的对应的中小企业划型标准规定所属行业为：</w:t>
      </w:r>
      <w:r>
        <w:rPr>
          <w:rFonts w:hint="eastAsia" w:ascii="宋体" w:hAnsi="宋体" w:eastAsia="宋体" w:cs="宋体"/>
          <w:b/>
          <w:color w:val="auto"/>
          <w:sz w:val="24"/>
          <w:szCs w:val="24"/>
          <w:highlight w:val="none"/>
        </w:rPr>
        <w:t xml:space="preserve">其他未列明行业。</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w:t>
      </w:r>
      <w:r>
        <w:rPr>
          <w:rStyle w:val="1037"/>
          <w:rFonts w:hint="eastAsia" w:ascii="宋体" w:hAnsi="宋体" w:eastAsia="宋体" w:cs="宋体"/>
          <w:bCs/>
          <w:color w:val="auto"/>
          <w:sz w:val="24"/>
          <w:szCs w:val="24"/>
          <w:highlight w:val="none"/>
          <w:lang w:val="en-US" w:eastAsia="zh-CN"/>
        </w:rPr>
        <w:t xml:space="preserve">中小企业参加政府采购活动，应当出具《政府采购促进中小企业发展管理办法》附件规定《中小企业声明函》，否则不得享受相关中小企业扶持政策。</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注：在货物采购项目中</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供应商提供的货物既有中小企业制造货物</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也有大型企业制造货物的</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不享受《政府采购促进中小企业发展管理办法》规定的中小企业扶持政策。若供应商提供的《中小企业声明函》为虚假声明则视同提供虚假材料</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按政府采购相关规定处理并报请政府监管部门给予行政处罚。</w:t>
      </w:r>
      <w:r/>
    </w:p>
    <w:p>
      <w:pPr>
        <w:ind w:firstLine="48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eastAsia="zh-CN"/>
        </w:rPr>
        <w:t xml:space="preserve">未按</w:t>
      </w:r>
      <w:r>
        <w:rPr>
          <w:rFonts w:hint="eastAsia" w:ascii="宋体" w:hAnsi="宋体" w:eastAsia="宋体" w:cs="宋体"/>
          <w:b w:val="0"/>
          <w:bCs w:val="0"/>
          <w:color w:val="auto"/>
          <w:sz w:val="24"/>
          <w:szCs w:val="24"/>
          <w:highlight w:val="none"/>
        </w:rPr>
        <w:t xml:space="preserve">本项目采购标的对应的中小企业划型标准规定所属行业</w:t>
      </w:r>
      <w:r>
        <w:rPr>
          <w:rFonts w:hint="eastAsia" w:ascii="宋体" w:hAnsi="宋体" w:eastAsia="宋体" w:cs="宋体"/>
          <w:b w:val="0"/>
          <w:bCs w:val="0"/>
          <w:color w:val="auto"/>
          <w:sz w:val="24"/>
          <w:szCs w:val="24"/>
          <w:highlight w:val="none"/>
          <w:lang w:eastAsia="zh-CN"/>
        </w:rPr>
        <w:t xml:space="preserve">承诺的</w:t>
      </w:r>
      <w:r>
        <w:rPr>
          <w:rFonts w:hint="eastAsia" w:ascii="宋体" w:hAnsi="宋体" w:eastAsia="宋体" w:cs="宋体"/>
          <w:b w:val="0"/>
          <w:bCs w:val="0"/>
          <w:color w:val="auto"/>
          <w:sz w:val="24"/>
          <w:szCs w:val="24"/>
          <w:highlight w:val="none"/>
        </w:rPr>
        <w:t xml:space="preserve">《中小企业声明函》</w:t>
      </w:r>
      <w:r>
        <w:rPr>
          <w:rFonts w:hint="eastAsia" w:ascii="宋体" w:hAnsi="宋体" w:eastAsia="宋体" w:cs="宋体"/>
          <w:b w:val="0"/>
          <w:bCs w:val="0"/>
          <w:color w:val="auto"/>
          <w:sz w:val="24"/>
          <w:szCs w:val="24"/>
          <w:highlight w:val="none"/>
          <w:lang w:eastAsia="zh-CN"/>
        </w:rPr>
        <w:t xml:space="preserve">为无效</w:t>
      </w:r>
      <w:r>
        <w:rPr>
          <w:rFonts w:hint="eastAsia" w:ascii="宋体" w:hAnsi="宋体" w:eastAsia="宋体" w:cs="宋体"/>
          <w:b w:val="0"/>
          <w:bCs w:val="0"/>
          <w:color w:val="auto"/>
          <w:sz w:val="24"/>
          <w:szCs w:val="24"/>
          <w:highlight w:val="none"/>
        </w:rPr>
        <w:t xml:space="preserve">《中小企业声明函》</w:t>
      </w:r>
      <w:r>
        <w:rPr>
          <w:rFonts w:hint="eastAsia" w:ascii="宋体" w:hAnsi="宋体" w:eastAsia="宋体" w:cs="宋体"/>
          <w:b w:val="0"/>
          <w:bCs w:val="0"/>
          <w:color w:val="auto"/>
          <w:sz w:val="24"/>
          <w:szCs w:val="24"/>
          <w:highlight w:val="none"/>
          <w:lang w:eastAsia="zh-CN"/>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、针对监狱企业的评审：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根据财政部、司法部《关于政府采购支持监狱企业发展有关问题的通知》（财库〔2014〕68号）的规定</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对属于监狱企业的供应商给予评审：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符合《关于政府采购支持监狱企业发展有关问题的通知》（财库〔2014〕68号）条件的监狱企业参加政府采购活动时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应当提供由省级以上监狱管理局、戒毒管理局（含新疆生产建设兵团）出具的属于监狱企业的证明文件。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、针对残疾人福利性单位的评审：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根据财政部、民政部、中国残疾人联合会《关于促进残疾人就业政府采购政策的通知》（财库〔2017〕141号）</w:t>
      </w:r>
      <w:r>
        <w:rPr>
          <w:rFonts w:hint="eastAsia" w:ascii="宋体" w:hAnsi="宋体" w:eastAsia="宋体" w:cs="宋体"/>
          <w:bCs/>
          <w:color w:val="auto"/>
          <w:sz w:val="24"/>
          <w:szCs w:val="24"/>
          <w:highlight w:val="none"/>
        </w:rPr>
        <w:t xml:space="preserve">的规定</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对属于残疾人福利性单位的供应商给予评审：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根据供应商提供的《残疾人福利性单位声明函》。</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（1）供应商对上述声明的真实性负责</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若供应商提供的《残疾人福利性单位声明函》与事实不符的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依照《政府采购法》第七十七条第一款的规定追究法律责任。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（2）供应商为残疾人福利性单位的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采购代理机构将随中标结果同时公告其《残疾人福利性单位声明函》</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接受社会监督。</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、上述针对中小型企业、监狱企业和残疾人福利性单位的评审政策不重复享受。</w:t>
      </w:r>
      <w:r/>
    </w:p>
    <w:p>
      <w:pPr>
        <w:pStyle w:val="922"/>
        <w:rPr>
          <w:rFonts w:hint="eastAsia"/>
          <w:color w:val="auto"/>
        </w:rPr>
      </w:pPr>
      <w:r>
        <w:rPr>
          <w:rFonts w:hint="eastAsia"/>
          <w:color w:val="auto"/>
        </w:rPr>
      </w:r>
      <w:r/>
    </w:p>
    <w:p>
      <w:pPr>
        <w:jc w:val="right"/>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全文完</w:t>
      </w:r>
      <w:r>
        <w:rPr>
          <w:rFonts w:hint="eastAsia" w:ascii="宋体" w:hAnsi="宋体" w:eastAsia="宋体" w:cs="宋体"/>
          <w:color w:val="auto"/>
          <w:sz w:val="24"/>
          <w:szCs w:val="24"/>
          <w:highlight w:val="none"/>
          <w:lang w:eastAsia="zh-CN"/>
        </w:rPr>
        <w:t xml:space="preserve">）</w:t>
      </w:r>
      <w:r/>
    </w:p>
    <w:sectPr>
      <w:footnotePr/>
      <w:endnotePr/>
      <w:type w:val="nextPage"/>
      <w:pgSz w:w="11906" w:h="16838" w:orient="portrait"/>
      <w:pgMar w:top="1134" w:right="1134" w:bottom="1134" w:left="113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Calibri">
    <w:panose1 w:val="020F0502020204030204"/>
  </w:font>
  <w:font w:name="Courier New">
    <w:panose1 w:val="02070309020205020404"/>
  </w:font>
  <w:font w:name="Symbol">
    <w:panose1 w:val="05050102010706020507"/>
  </w:font>
  <w:font w:name="方正仿宋简体">
    <w:panose1 w:val="020B0503020202020204"/>
  </w:font>
  <w:font w:name="Tahoma">
    <w:panose1 w:val="020B0604030504040204"/>
  </w:font>
  <w:font w:name="华文细黑">
    <w:panose1 w:val="02010600040101010101"/>
  </w:font>
  <w:font w:name="仿宋_GB2312">
    <w:panose1 w:val="02010609060101010101"/>
  </w:font>
  <w:font w:name="黑体">
    <w:panose1 w:val="02010609060101010101"/>
  </w:font>
  <w:font w:name="Cambria">
    <w:panose1 w:val="02040503050406030204"/>
  </w:font>
  <w:font w:name="楷体_GB2312">
    <w:panose1 w:val="02010609060101010101"/>
  </w:font>
  <w:font w:name="Arial Unicode MS">
    <w:panose1 w:val="020B0604020202020204"/>
  </w:font>
  <w:font w:name="Arial">
    <w:panose1 w:val="020B0604020202020204"/>
  </w:font>
  <w:font w:name="创艺简仿宋">
    <w:panose1 w:val="020B0503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ind w:right="360" w:firstLine="342"/>
    </w:pPr>
    <w:r>
      <w:rPr>
        <w:rFonts w:hint="eastAsia"/>
      </w:rPr>
      <w:t xml:space="preserve">苏州正杰招投标咨询服务有限公司</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rPr>
        <w:rStyle w:val="967"/>
      </w:rPr>
      <w:framePr w:wrap="around" w:vAnchor="text" w:hAnchor="margin" w:xAlign="right" w:y="1"/>
    </w:pPr>
    <w:r>
      <w:fldChar w:fldCharType="begin"/>
    </w:r>
    <w:r>
      <w:rPr>
        <w:rStyle w:val="967"/>
      </w:rPr>
      <w:instrText xml:space="preserve">PAGE  </w:instrText>
    </w:r>
    <w:r>
      <w:fldChar w:fldCharType="end"/>
    </w:r>
    <w:r/>
  </w:p>
  <w:p>
    <w:pPr>
      <w:pStyle w:val="943"/>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ind w:right="360" w:firstLine="342"/>
    </w:pPr>
    <w:r>
      <w:rPr>
        <w:rFonts w:hint="eastAsia"/>
      </w:rPr>
      <w:t xml:space="preserve">苏州正杰招投标咨询服务有限公司</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7"/>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828800" cy="1828800"/>
                      </a:xfrm>
                      <a:prstGeom prst="rect">
                        <a:avLst/>
                      </a:prstGeom>
                      <a:noFill/>
                      <a:ln>
                        <a:noFill/>
                      </a:ln>
                      <a:effectLst/>
                    </wps:spPr>
                    <wps:txbx>
                      <w:txbxContent>
                        <w:p>
                          <w:pPr>
                            <w:pStyle w:val="943"/>
                          </w:pPr>
                          <w:r>
                            <w:fldChar w:fldCharType="begin"/>
                          </w:r>
                          <w:r>
                            <w:instrText xml:space="preserve"> PAGE  \* MERGEFORMAT </w:instrText>
                          </w:r>
                          <w:r>
                            <w:fldChar w:fldCharType="separate"/>
                          </w:r>
                          <w:r>
                            <w:t xml:space="preserve">63</w:t>
                          </w:r>
                          <w:r>
                            <w:fldChar w:fldCharType="end"/>
                          </w:r>
                          <w:r/>
                        </w:p>
                      </w:txbxContent>
                    </wps:txbx>
                    <wps:bodyPr rot="0" vert="horz" wrap="none" lIns="0" tIns="0" rIns="0" bIns="0" anchor="t" anchorCtr="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943"/>
                    </w:pPr>
                    <w:r>
                      <w:fldChar w:fldCharType="begin"/>
                    </w:r>
                    <w:r>
                      <w:instrText xml:space="preserve"> PAGE  \* MERGEFORMAT </w:instrText>
                    </w:r>
                    <w:r>
                      <w:fldChar w:fldCharType="separate"/>
                    </w:r>
                    <w:r>
                      <w:t xml:space="preserve">63</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ind w:right="360"/>
      <w:rPr>
        <w:rFonts w:hint="eastAsia" w:ascii="宋体" w:hAnsi="宋体" w:eastAsia="宋体" w:cs="宋体"/>
      </w:rPr>
    </w:pPr>
    <w:r>
      <w:rPr>
        <w:rFonts w:hint="eastAsia" w:ascii="宋体" w:hAnsi="宋体" w:eastAsia="宋体" w:cs="宋体"/>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right</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43"/>
                            <w:rPr>
                              <w:rFonts w:hint="eastAsia" w:ascii="宋体" w:hAnsi="宋体" w:eastAsia="宋体" w:cs="宋体"/>
                              <w:sz w:val="21"/>
                              <w:szCs w:val="21"/>
                            </w:rPr>
                          </w:pPr>
                          <w:r>
                            <w:rPr>
                              <w:rFonts w:hint="eastAsia" w:ascii="宋体" w:hAnsi="宋体" w:eastAsia="宋体" w:cs="宋体"/>
                              <w:sz w:val="21"/>
                              <w:szCs w:val="21"/>
                            </w:rPr>
                            <w:t xml:space="preserve">第 </w:t>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  \* MERGEFORMAT </w:instrText>
                          </w:r>
                          <w:r>
                            <w:rPr>
                              <w:rFonts w:hint="eastAsia" w:ascii="宋体" w:hAnsi="宋体" w:eastAsia="宋体" w:cs="宋体"/>
                              <w:sz w:val="21"/>
                              <w:szCs w:val="21"/>
                            </w:rPr>
                            <w:fldChar w:fldCharType="separate"/>
                          </w:r>
                          <w:r>
                            <w:rPr>
                              <w:rFonts w:hint="eastAsia" w:ascii="宋体" w:hAnsi="宋体" w:eastAsia="宋体" w:cs="宋体"/>
                              <w:sz w:val="21"/>
                              <w:szCs w:val="21"/>
                            </w:rPr>
                            <w:t xml:space="preserve">1</w:t>
                          </w:r>
                          <w:r>
                            <w:rPr>
                              <w:rFonts w:hint="eastAsia" w:ascii="宋体" w:hAnsi="宋体" w:eastAsia="宋体" w:cs="宋体"/>
                              <w:sz w:val="21"/>
                              <w:szCs w:val="21"/>
                            </w:rPr>
                            <w:fldChar w:fldCharType="end"/>
                          </w:r>
                          <w:r>
                            <w:rPr>
                              <w:rFonts w:hint="eastAsia" w:ascii="宋体" w:hAnsi="宋体" w:eastAsia="宋体" w:cs="宋体"/>
                              <w:sz w:val="21"/>
                              <w:szCs w:val="21"/>
                            </w:rP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43"/>
                      <w:rPr>
                        <w:rFonts w:hint="eastAsia" w:ascii="宋体" w:hAnsi="宋体" w:eastAsia="宋体" w:cs="宋体"/>
                        <w:sz w:val="21"/>
                        <w:szCs w:val="21"/>
                      </w:rPr>
                    </w:pPr>
                    <w:r>
                      <w:rPr>
                        <w:rFonts w:hint="eastAsia" w:ascii="宋体" w:hAnsi="宋体" w:eastAsia="宋体" w:cs="宋体"/>
                        <w:sz w:val="21"/>
                        <w:szCs w:val="21"/>
                      </w:rPr>
                      <w:t xml:space="preserve">第 </w:t>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  \* MERGEFORMAT </w:instrText>
                    </w:r>
                    <w:r>
                      <w:rPr>
                        <w:rFonts w:hint="eastAsia" w:ascii="宋体" w:hAnsi="宋体" w:eastAsia="宋体" w:cs="宋体"/>
                        <w:sz w:val="21"/>
                        <w:szCs w:val="21"/>
                      </w:rPr>
                      <w:fldChar w:fldCharType="separate"/>
                    </w:r>
                    <w:r>
                      <w:rPr>
                        <w:rFonts w:hint="eastAsia" w:ascii="宋体" w:hAnsi="宋体" w:eastAsia="宋体" w:cs="宋体"/>
                        <w:sz w:val="21"/>
                        <w:szCs w:val="21"/>
                      </w:rPr>
                      <w:t xml:space="preserve">1</w:t>
                    </w:r>
                    <w:r>
                      <w:rPr>
                        <w:rFonts w:hint="eastAsia" w:ascii="宋体" w:hAnsi="宋体" w:eastAsia="宋体" w:cs="宋体"/>
                        <w:sz w:val="21"/>
                        <w:szCs w:val="21"/>
                      </w:rPr>
                      <w:fldChar w:fldCharType="end"/>
                    </w:r>
                    <w:r>
                      <w:rPr>
                        <w:rFonts w:hint="eastAsia" w:ascii="宋体" w:hAnsi="宋体" w:eastAsia="宋体" w:cs="宋体"/>
                        <w:sz w:val="21"/>
                        <w:szCs w:val="21"/>
                      </w:rPr>
                      <w:t xml:space="preserve"> 页</w:t>
                    </w:r>
                    <w:r/>
                  </w:p>
                </w:txbxContent>
              </v:textbox>
            </v:shape>
          </w:pict>
        </mc:Fallback>
      </mc:AlternateContent>
    </w:r>
    <w:r>
      <w:rPr>
        <w:rFonts w:hint="eastAsia" w:ascii="宋体" w:hAnsi="宋体" w:eastAsia="宋体" w:cs="宋体"/>
      </w:rPr>
      <w:t xml:space="preserve">苏州正杰招投标咨询服务有限公司</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jc w:val="both"/>
      <w:rPr>
        <w:rFonts w:hint="eastAsia" w:ascii="宋体" w:hAnsi="宋体" w:eastAsia="宋体" w:cs="宋体"/>
        <w:sz w:val="21"/>
        <w:szCs w:val="21"/>
        <w:lang w:eastAsia="zh-CN"/>
      </w:rPr>
    </w:pPr>
    <w:r>
      <w:rPr>
        <w:rFonts w:hint="eastAsia" w:ascii="宋体" w:hAnsi="宋体" w:eastAsia="宋体" w:cs="宋体"/>
        <w:sz w:val="21"/>
        <w:szCs w:val="21"/>
      </w:rPr>
      <w:t xml:space="preserve">政府采购招标文件                              </w:t>
    </w:r>
    <w:r>
      <w:rPr>
        <w:rFonts w:hint="eastAsia" w:ascii="宋体" w:hAnsi="宋体" w:eastAsia="宋体" w:cs="宋体"/>
        <w:sz w:val="21"/>
        <w:szCs w:val="21"/>
        <w:lang w:val="en-US" w:eastAsia="zh-CN"/>
      </w:rPr>
      <w:t xml:space="preserve">       项目编号</w:t>
    </w:r>
    <w:r>
      <w:rPr>
        <w:rFonts w:hint="eastAsia" w:ascii="宋体" w:hAnsi="宋体" w:eastAsia="宋体" w:cs="宋体"/>
        <w:sz w:val="21"/>
        <w:szCs w:val="21"/>
      </w:rPr>
      <w:t xml:space="preserve">：</w:t>
    </w:r>
    <w:r>
      <w:rPr>
        <w:rFonts w:hint="eastAsia" w:ascii="宋体" w:hAnsi="宋体" w:eastAsia="宋体" w:cs="宋体"/>
        <w:sz w:val="21"/>
        <w:szCs w:val="21"/>
        <w:lang w:eastAsia="zh-CN"/>
      </w:rPr>
      <w:t xml:space="preserve">JSZC-320500-SZZJ-G2026-0018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5" w:hanging="425"/>
      </w:pPr>
      <w:rPr>
        <w:rFonts w:hint="eastAsia"/>
      </w:rPr>
    </w:lvl>
    <w:lvl w:ilvl="1">
      <w:start w:val="1"/>
      <w:numFmt w:val="decimal"/>
      <w:isLgl w:val="false"/>
      <w:suff w:val="tab"/>
      <w:lvlText w:val="%1.%2"/>
      <w:lvlJc w:val="left"/>
      <w:pPr>
        <w:ind w:left="1277" w:hanging="567"/>
      </w:pPr>
    </w:lvl>
    <w:lvl w:ilvl="2">
      <w:start w:val="1"/>
      <w:numFmt w:val="decimal"/>
      <w:isLgl w:val="false"/>
      <w:suff w:val="tab"/>
      <w:lvlText w:val="%1.%2.%3"/>
      <w:lvlJc w:val="left"/>
      <w:pPr>
        <w:ind w:left="992"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1">
    <w:multiLevelType w:val="hybridMultilevel"/>
    <w:lvl w:ilvl="0">
      <w:start w:val="1"/>
      <w:numFmt w:val="decimal"/>
      <w:pStyle w:val="994"/>
      <w:isLgl w:val="false"/>
      <w:suff w:val="tab"/>
      <w:lvlText w:val="%1"/>
      <w:lvlJc w:val="left"/>
      <w:pPr>
        <w:ind w:left="432" w:hanging="432"/>
        <w:tabs>
          <w:tab w:val="left" w:pos="432" w:leader="none"/>
        </w:tabs>
      </w:pPr>
    </w:lvl>
    <w:lvl w:ilvl="1">
      <w:start w:val="1"/>
      <w:numFmt w:val="decimal"/>
      <w:isLgl w:val="false"/>
      <w:suff w:val="tab"/>
      <w:lvlText w:val="%1.%2"/>
      <w:lvlJc w:val="left"/>
      <w:pPr>
        <w:ind w:left="576" w:hanging="576"/>
        <w:tabs>
          <w:tab w:val="left" w:pos="576" w:leader="none"/>
        </w:tabs>
      </w:pPr>
    </w:lvl>
    <w:lvl w:ilvl="2">
      <w:start w:val="1"/>
      <w:numFmt w:val="decimal"/>
      <w:isLgl w:val="false"/>
      <w:suff w:val="tab"/>
      <w:lvlText w:val="%1.%2.%3"/>
      <w:lvlJc w:val="left"/>
      <w:pPr>
        <w:ind w:left="720" w:hanging="720"/>
        <w:tabs>
          <w:tab w:val="left" w:pos="720" w:leader="none"/>
        </w:tabs>
      </w:pPr>
    </w:lvl>
    <w:lvl w:ilvl="3">
      <w:start w:val="1"/>
      <w:numFmt w:val="decimal"/>
      <w:isLgl w:val="false"/>
      <w:suff w:val="tab"/>
      <w:lvlText w:val="%1.%2.%3.%4"/>
      <w:lvlJc w:val="left"/>
      <w:pPr>
        <w:ind w:left="864" w:hanging="864"/>
        <w:tabs>
          <w:tab w:val="left" w:pos="864" w:leader="none"/>
        </w:tabs>
      </w:pPr>
    </w:lvl>
    <w:lvl w:ilvl="4">
      <w:start w:val="1"/>
      <w:numFmt w:val="decimal"/>
      <w:pStyle w:val="915"/>
      <w:isLgl w:val="false"/>
      <w:suff w:val="tab"/>
      <w:lvlText w:val="%1.%2.%3.%4.%5"/>
      <w:lvlJc w:val="left"/>
      <w:pPr>
        <w:ind w:left="1008" w:hanging="1008"/>
        <w:tabs>
          <w:tab w:val="left" w:pos="1008" w:leader="none"/>
        </w:tabs>
      </w:pPr>
    </w:lvl>
    <w:lvl w:ilvl="5">
      <w:start w:val="1"/>
      <w:numFmt w:val="decimal"/>
      <w:pStyle w:val="916"/>
      <w:isLgl w:val="false"/>
      <w:suff w:val="tab"/>
      <w:lvlText w:val="%1.%2.%3.%4.%5.%6"/>
      <w:lvlJc w:val="left"/>
      <w:pPr>
        <w:ind w:left="1152" w:hanging="1152"/>
        <w:tabs>
          <w:tab w:val="left" w:pos="1152" w:leader="none"/>
        </w:tabs>
      </w:pPr>
    </w:lvl>
    <w:lvl w:ilvl="6">
      <w:start w:val="1"/>
      <w:numFmt w:val="decimal"/>
      <w:pStyle w:val="917"/>
      <w:isLgl w:val="false"/>
      <w:suff w:val="tab"/>
      <w:lvlText w:val="%1.%2.%3.%4.%5.%6.%7"/>
      <w:lvlJc w:val="left"/>
      <w:pPr>
        <w:ind w:left="1296" w:hanging="1296"/>
        <w:tabs>
          <w:tab w:val="left" w:pos="1296" w:leader="none"/>
        </w:tabs>
      </w:pPr>
    </w:lvl>
    <w:lvl w:ilvl="7">
      <w:start w:val="1"/>
      <w:numFmt w:val="decimal"/>
      <w:pStyle w:val="918"/>
      <w:isLgl w:val="false"/>
      <w:suff w:val="tab"/>
      <w:lvlText w:val="%1.%2.%3.%4.%5.%6.%7.%8"/>
      <w:lvlJc w:val="left"/>
      <w:pPr>
        <w:ind w:left="1440" w:hanging="1440"/>
        <w:tabs>
          <w:tab w:val="left" w:pos="1440" w:leader="none"/>
        </w:tabs>
      </w:pPr>
    </w:lvl>
    <w:lvl w:ilvl="8">
      <w:start w:val="1"/>
      <w:numFmt w:val="decimal"/>
      <w:pStyle w:val="919"/>
      <w:isLgl w:val="false"/>
      <w:suff w:val="tab"/>
      <w:lvlText w:val="%1.%2.%3.%4.%5.%6.%7.%8.%9"/>
      <w:lvlJc w:val="left"/>
      <w:pPr>
        <w:ind w:left="1584" w:hanging="1584"/>
        <w:tabs>
          <w:tab w:val="left" w:pos="1584" w:leader="none"/>
        </w:tabs>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59">
    <w:name w:val="Heading 1 Char"/>
    <w:basedOn w:val="920"/>
    <w:link w:val="911"/>
    <w:uiPriority w:val="9"/>
    <w:rPr>
      <w:rFonts w:ascii="Arial" w:hAnsi="Arial" w:eastAsia="Arial" w:cs="Arial"/>
      <w:sz w:val="40"/>
      <w:szCs w:val="40"/>
    </w:rPr>
  </w:style>
  <w:style w:type="character" w:styleId="760">
    <w:name w:val="Heading 2 Char"/>
    <w:basedOn w:val="920"/>
    <w:link w:val="912"/>
    <w:uiPriority w:val="9"/>
    <w:rPr>
      <w:rFonts w:ascii="Arial" w:hAnsi="Arial" w:eastAsia="Arial" w:cs="Arial"/>
      <w:sz w:val="34"/>
    </w:rPr>
  </w:style>
  <w:style w:type="character" w:styleId="761">
    <w:name w:val="Heading 3 Char"/>
    <w:basedOn w:val="920"/>
    <w:link w:val="913"/>
    <w:uiPriority w:val="9"/>
    <w:rPr>
      <w:rFonts w:ascii="Arial" w:hAnsi="Arial" w:eastAsia="Arial" w:cs="Arial"/>
      <w:sz w:val="30"/>
      <w:szCs w:val="30"/>
    </w:rPr>
  </w:style>
  <w:style w:type="character" w:styleId="762">
    <w:name w:val="Heading 4 Char"/>
    <w:basedOn w:val="920"/>
    <w:link w:val="914"/>
    <w:uiPriority w:val="9"/>
    <w:rPr>
      <w:rFonts w:ascii="Arial" w:hAnsi="Arial" w:eastAsia="Arial" w:cs="Arial"/>
      <w:b/>
      <w:bCs/>
      <w:sz w:val="26"/>
      <w:szCs w:val="26"/>
    </w:rPr>
  </w:style>
  <w:style w:type="character" w:styleId="763">
    <w:name w:val="Heading 5 Char"/>
    <w:basedOn w:val="920"/>
    <w:link w:val="915"/>
    <w:uiPriority w:val="9"/>
    <w:rPr>
      <w:rFonts w:ascii="Arial" w:hAnsi="Arial" w:eastAsia="Arial" w:cs="Arial"/>
      <w:b/>
      <w:bCs/>
      <w:sz w:val="24"/>
      <w:szCs w:val="24"/>
    </w:rPr>
  </w:style>
  <w:style w:type="character" w:styleId="764">
    <w:name w:val="Heading 6 Char"/>
    <w:basedOn w:val="920"/>
    <w:link w:val="916"/>
    <w:uiPriority w:val="9"/>
    <w:rPr>
      <w:rFonts w:ascii="Arial" w:hAnsi="Arial" w:eastAsia="Arial" w:cs="Arial"/>
      <w:b/>
      <w:bCs/>
      <w:sz w:val="22"/>
      <w:szCs w:val="22"/>
    </w:rPr>
  </w:style>
  <w:style w:type="character" w:styleId="765">
    <w:name w:val="Heading 7 Char"/>
    <w:basedOn w:val="920"/>
    <w:link w:val="917"/>
    <w:uiPriority w:val="9"/>
    <w:rPr>
      <w:rFonts w:ascii="Arial" w:hAnsi="Arial" w:eastAsia="Arial" w:cs="Arial"/>
      <w:b/>
      <w:bCs/>
      <w:i/>
      <w:iCs/>
      <w:sz w:val="22"/>
      <w:szCs w:val="22"/>
    </w:rPr>
  </w:style>
  <w:style w:type="character" w:styleId="766">
    <w:name w:val="Heading 8 Char"/>
    <w:basedOn w:val="920"/>
    <w:link w:val="918"/>
    <w:uiPriority w:val="9"/>
    <w:rPr>
      <w:rFonts w:ascii="Arial" w:hAnsi="Arial" w:eastAsia="Arial" w:cs="Arial"/>
      <w:i/>
      <w:iCs/>
      <w:sz w:val="22"/>
      <w:szCs w:val="22"/>
    </w:rPr>
  </w:style>
  <w:style w:type="character" w:styleId="767">
    <w:name w:val="Heading 9 Char"/>
    <w:basedOn w:val="920"/>
    <w:link w:val="919"/>
    <w:uiPriority w:val="9"/>
    <w:rPr>
      <w:rFonts w:ascii="Arial" w:hAnsi="Arial" w:eastAsia="Arial" w:cs="Arial"/>
      <w:i/>
      <w:iCs/>
      <w:sz w:val="21"/>
      <w:szCs w:val="21"/>
    </w:rPr>
  </w:style>
  <w:style w:type="paragraph" w:styleId="768">
    <w:name w:val="No Spacing"/>
    <w:uiPriority w:val="1"/>
    <w:qFormat/>
    <w:pPr>
      <w:spacing w:before="0" w:after="0" w:line="240" w:lineRule="auto"/>
    </w:pPr>
  </w:style>
  <w:style w:type="character" w:styleId="769">
    <w:name w:val="Title Char"/>
    <w:basedOn w:val="920"/>
    <w:link w:val="961"/>
    <w:uiPriority w:val="10"/>
    <w:rPr>
      <w:sz w:val="48"/>
      <w:szCs w:val="48"/>
    </w:rPr>
  </w:style>
  <w:style w:type="paragraph" w:styleId="770">
    <w:name w:val="Subtitle"/>
    <w:basedOn w:val="910"/>
    <w:next w:val="910"/>
    <w:link w:val="771"/>
    <w:uiPriority w:val="11"/>
    <w:qFormat/>
    <w:pPr>
      <w:spacing w:before="200" w:after="200"/>
    </w:pPr>
    <w:rPr>
      <w:sz w:val="24"/>
      <w:szCs w:val="24"/>
    </w:rPr>
  </w:style>
  <w:style w:type="character" w:styleId="771">
    <w:name w:val="Subtitle Char"/>
    <w:basedOn w:val="920"/>
    <w:link w:val="770"/>
    <w:uiPriority w:val="11"/>
    <w:rPr>
      <w:sz w:val="24"/>
      <w:szCs w:val="24"/>
    </w:rPr>
  </w:style>
  <w:style w:type="paragraph" w:styleId="772">
    <w:name w:val="Quote"/>
    <w:basedOn w:val="910"/>
    <w:next w:val="910"/>
    <w:link w:val="773"/>
    <w:uiPriority w:val="29"/>
    <w:qFormat/>
    <w:pPr>
      <w:ind w:left="720" w:right="720"/>
    </w:pPr>
    <w:rPr>
      <w:i/>
    </w:rPr>
  </w:style>
  <w:style w:type="character" w:styleId="773">
    <w:name w:val="Quote Char"/>
    <w:link w:val="772"/>
    <w:uiPriority w:val="29"/>
    <w:rPr>
      <w:i/>
    </w:rPr>
  </w:style>
  <w:style w:type="paragraph" w:styleId="774">
    <w:name w:val="Intense Quote"/>
    <w:basedOn w:val="910"/>
    <w:next w:val="910"/>
    <w:link w:val="77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5">
    <w:name w:val="Intense Quote Char"/>
    <w:link w:val="774"/>
    <w:uiPriority w:val="30"/>
    <w:rPr>
      <w:i/>
    </w:rPr>
  </w:style>
  <w:style w:type="character" w:styleId="776">
    <w:name w:val="Header Char"/>
    <w:basedOn w:val="920"/>
    <w:link w:val="945"/>
    <w:uiPriority w:val="99"/>
  </w:style>
  <w:style w:type="character" w:styleId="777">
    <w:name w:val="Footer Char"/>
    <w:basedOn w:val="920"/>
    <w:link w:val="943"/>
    <w:uiPriority w:val="99"/>
  </w:style>
  <w:style w:type="paragraph" w:styleId="778">
    <w:name w:val="Caption"/>
    <w:basedOn w:val="910"/>
    <w:next w:val="910"/>
    <w:uiPriority w:val="35"/>
    <w:semiHidden/>
    <w:unhideWhenUsed/>
    <w:qFormat/>
    <w:pPr>
      <w:spacing w:line="276" w:lineRule="auto"/>
    </w:pPr>
    <w:rPr>
      <w:b/>
      <w:bCs/>
      <w:color w:val="4f81bd" w:themeColor="accent1"/>
      <w:sz w:val="18"/>
      <w:szCs w:val="18"/>
    </w:rPr>
  </w:style>
  <w:style w:type="character" w:styleId="779">
    <w:name w:val="Caption Char"/>
    <w:basedOn w:val="778"/>
    <w:link w:val="943"/>
    <w:uiPriority w:val="99"/>
  </w:style>
  <w:style w:type="table" w:styleId="780">
    <w:name w:val="Table Grid Light"/>
    <w:basedOn w:val="92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1">
    <w:name w:val="Plain Table 1"/>
    <w:basedOn w:val="92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2">
    <w:name w:val="Plain Table 2"/>
    <w:basedOn w:val="92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3">
    <w:name w:val="Plain Table 3"/>
    <w:basedOn w:val="92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4">
    <w:name w:val="Plain Table 4"/>
    <w:basedOn w:val="92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5">
    <w:name w:val="Plain Table 5"/>
    <w:basedOn w:val="92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6">
    <w:name w:val="Grid Table 1 Light"/>
    <w:basedOn w:val="92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7">
    <w:name w:val="Grid Table 1 Light - Accent 1"/>
    <w:basedOn w:val="92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8">
    <w:name w:val="Grid Table 1 Light - Accent 2"/>
    <w:basedOn w:val="92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9">
    <w:name w:val="Grid Table 1 Light - Accent 3"/>
    <w:basedOn w:val="92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0">
    <w:name w:val="Grid Table 1 Light - Accent 4"/>
    <w:basedOn w:val="92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1">
    <w:name w:val="Grid Table 1 Light - Accent 5"/>
    <w:basedOn w:val="92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2">
    <w:name w:val="Grid Table 1 Light - Accent 6"/>
    <w:basedOn w:val="92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3">
    <w:name w:val="Grid Table 2"/>
    <w:basedOn w:val="92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4">
    <w:name w:val="Grid Table 2 - Accent 1"/>
    <w:basedOn w:val="92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5">
    <w:name w:val="Grid Table 2 - Accent 2"/>
    <w:basedOn w:val="92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6">
    <w:name w:val="Grid Table 2 - Accent 3"/>
    <w:basedOn w:val="92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7">
    <w:name w:val="Grid Table 2 - Accent 4"/>
    <w:basedOn w:val="92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8">
    <w:name w:val="Grid Table 2 - Accent 5"/>
    <w:basedOn w:val="92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9">
    <w:name w:val="Grid Table 2 - Accent 6"/>
    <w:basedOn w:val="92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0">
    <w:name w:val="Grid Table 3"/>
    <w:basedOn w:val="92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1">
    <w:name w:val="Grid Table 3 - Accent 1"/>
    <w:basedOn w:val="92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2">
    <w:name w:val="Grid Table 3 - Accent 2"/>
    <w:basedOn w:val="92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3">
    <w:name w:val="Grid Table 3 - Accent 3"/>
    <w:basedOn w:val="92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4">
    <w:name w:val="Grid Table 3 - Accent 4"/>
    <w:basedOn w:val="92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5">
    <w:name w:val="Grid Table 3 - Accent 5"/>
    <w:basedOn w:val="92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6">
    <w:name w:val="Grid Table 3 - Accent 6"/>
    <w:basedOn w:val="92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7">
    <w:name w:val="Grid Table 4"/>
    <w:basedOn w:val="92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8">
    <w:name w:val="Grid Table 4 - Accent 1"/>
    <w:basedOn w:val="92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9">
    <w:name w:val="Grid Table 4 - Accent 2"/>
    <w:basedOn w:val="92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0">
    <w:name w:val="Grid Table 4 - Accent 3"/>
    <w:basedOn w:val="92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1">
    <w:name w:val="Grid Table 4 - Accent 4"/>
    <w:basedOn w:val="92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2">
    <w:name w:val="Grid Table 4 - Accent 5"/>
    <w:basedOn w:val="92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3">
    <w:name w:val="Grid Table 4 - Accent 6"/>
    <w:basedOn w:val="92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4">
    <w:name w:val="Grid Table 5 Dark"/>
    <w:basedOn w:val="9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5">
    <w:name w:val="Grid Table 5 Dark- Accent 1"/>
    <w:basedOn w:val="9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16">
    <w:name w:val="Grid Table 5 Dark - Accent 2"/>
    <w:basedOn w:val="9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17">
    <w:name w:val="Grid Table 5 Dark - Accent 3"/>
    <w:basedOn w:val="9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18">
    <w:name w:val="Grid Table 5 Dark- Accent 4"/>
    <w:basedOn w:val="9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19">
    <w:name w:val="Grid Table 5 Dark - Accent 5"/>
    <w:basedOn w:val="9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20">
    <w:name w:val="Grid Table 5 Dark - Accent 6"/>
    <w:basedOn w:val="9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21">
    <w:name w:val="Grid Table 6 Colorful"/>
    <w:basedOn w:val="92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2">
    <w:name w:val="Grid Table 6 Colorful - Accent 1"/>
    <w:basedOn w:val="92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823">
    <w:name w:val="Grid Table 6 Colorful - Accent 2"/>
    <w:basedOn w:val="92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24">
    <w:name w:val="Grid Table 6 Colorful - Accent 3"/>
    <w:basedOn w:val="92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25">
    <w:name w:val="Grid Table 6 Colorful - Accent 4"/>
    <w:basedOn w:val="92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26">
    <w:name w:val="Grid Table 6 Colorful - Accent 5"/>
    <w:basedOn w:val="92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27">
    <w:name w:val="Grid Table 6 Colorful - Accent 6"/>
    <w:basedOn w:val="92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28">
    <w:name w:val="Grid Table 7 Colorful"/>
    <w:basedOn w:val="92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9">
    <w:name w:val="Grid Table 7 Colorful - Accent 1"/>
    <w:basedOn w:val="92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0">
    <w:name w:val="Grid Table 7 Colorful - Accent 2"/>
    <w:basedOn w:val="92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1">
    <w:name w:val="Grid Table 7 Colorful - Accent 3"/>
    <w:basedOn w:val="92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2">
    <w:name w:val="Grid Table 7 Colorful - Accent 4"/>
    <w:basedOn w:val="92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3">
    <w:name w:val="Grid Table 7 Colorful - Accent 5"/>
    <w:basedOn w:val="92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4">
    <w:name w:val="Grid Table 7 Colorful - Accent 6"/>
    <w:basedOn w:val="92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5">
    <w:name w:val="List Table 1 Light"/>
    <w:basedOn w:val="92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6">
    <w:name w:val="List Table 1 Light - Accent 1"/>
    <w:basedOn w:val="921"/>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7">
    <w:name w:val="List Table 1 Light - Accent 2"/>
    <w:basedOn w:val="921"/>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8">
    <w:name w:val="List Table 1 Light - Accent 3"/>
    <w:basedOn w:val="921"/>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9">
    <w:name w:val="List Table 1 Light - Accent 4"/>
    <w:basedOn w:val="921"/>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0">
    <w:name w:val="List Table 1 Light - Accent 5"/>
    <w:basedOn w:val="921"/>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1">
    <w:name w:val="List Table 1 Light - Accent 6"/>
    <w:basedOn w:val="921"/>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2">
    <w:name w:val="List Table 2"/>
    <w:basedOn w:val="92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3">
    <w:name w:val="List Table 2 - Accent 1"/>
    <w:basedOn w:val="92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4">
    <w:name w:val="List Table 2 - Accent 2"/>
    <w:basedOn w:val="92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5">
    <w:name w:val="List Table 2 - Accent 3"/>
    <w:basedOn w:val="92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6">
    <w:name w:val="List Table 2 - Accent 4"/>
    <w:basedOn w:val="92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7">
    <w:name w:val="List Table 2 - Accent 5"/>
    <w:basedOn w:val="92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8">
    <w:name w:val="List Table 2 - Accent 6"/>
    <w:basedOn w:val="92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9">
    <w:name w:val="List Table 3"/>
    <w:basedOn w:val="92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0">
    <w:name w:val="List Table 3 - Accent 1"/>
    <w:basedOn w:val="92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51">
    <w:name w:val="List Table 3 - Accent 2"/>
    <w:basedOn w:val="92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52">
    <w:name w:val="List Table 3 - Accent 3"/>
    <w:basedOn w:val="92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53">
    <w:name w:val="List Table 3 - Accent 4"/>
    <w:basedOn w:val="92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54">
    <w:name w:val="List Table 3 - Accent 5"/>
    <w:basedOn w:val="92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855">
    <w:name w:val="List Table 3 - Accent 6"/>
    <w:basedOn w:val="92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56">
    <w:name w:val="List Table 4"/>
    <w:basedOn w:val="92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7">
    <w:name w:val="List Table 4 - Accent 1"/>
    <w:basedOn w:val="92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58">
    <w:name w:val="List Table 4 - Accent 2"/>
    <w:basedOn w:val="92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59">
    <w:name w:val="List Table 4 - Accent 3"/>
    <w:basedOn w:val="92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60">
    <w:name w:val="List Table 4 - Accent 4"/>
    <w:basedOn w:val="92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61">
    <w:name w:val="List Table 4 - Accent 5"/>
    <w:basedOn w:val="92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862">
    <w:name w:val="List Table 4 - Accent 6"/>
    <w:basedOn w:val="92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63">
    <w:name w:val="List Table 5 Dark"/>
    <w:basedOn w:val="92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4">
    <w:name w:val="List Table 5 Dark - Accent 1"/>
    <w:basedOn w:val="92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5">
    <w:name w:val="List Table 5 Dark - Accent 2"/>
    <w:basedOn w:val="92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6">
    <w:name w:val="List Table 5 Dark - Accent 3"/>
    <w:basedOn w:val="92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7">
    <w:name w:val="List Table 5 Dark - Accent 4"/>
    <w:basedOn w:val="92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8">
    <w:name w:val="List Table 5 Dark - Accent 5"/>
    <w:basedOn w:val="92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9">
    <w:name w:val="List Table 5 Dark - Accent 6"/>
    <w:basedOn w:val="92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0">
    <w:name w:val="List Table 6 Colorful"/>
    <w:basedOn w:val="92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1">
    <w:name w:val="List Table 6 Colorful - Accent 1"/>
    <w:basedOn w:val="92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872">
    <w:name w:val="List Table 6 Colorful - Accent 2"/>
    <w:basedOn w:val="92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73">
    <w:name w:val="List Table 6 Colorful - Accent 3"/>
    <w:basedOn w:val="92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74">
    <w:name w:val="List Table 6 Colorful - Accent 4"/>
    <w:basedOn w:val="92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75">
    <w:name w:val="List Table 6 Colorful - Accent 5"/>
    <w:basedOn w:val="92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876">
    <w:name w:val="List Table 6 Colorful - Accent 6"/>
    <w:basedOn w:val="92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77">
    <w:name w:val="List Table 7 Colorful"/>
    <w:basedOn w:val="92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8">
    <w:name w:val="List Table 7 Colorful - Accent 1"/>
    <w:basedOn w:val="92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879">
    <w:name w:val="List Table 7 Colorful - Accent 2"/>
    <w:basedOn w:val="92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80">
    <w:name w:val="List Table 7 Colorful - Accent 3"/>
    <w:basedOn w:val="92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81">
    <w:name w:val="List Table 7 Colorful - Accent 4"/>
    <w:basedOn w:val="92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82">
    <w:name w:val="List Table 7 Colorful - Accent 5"/>
    <w:basedOn w:val="92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883">
    <w:name w:val="List Table 7 Colorful - Accent 6"/>
    <w:basedOn w:val="92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84">
    <w:name w:val="Lined - Accent"/>
    <w:basedOn w:val="9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5">
    <w:name w:val="Lined - Accent 1"/>
    <w:basedOn w:val="9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86">
    <w:name w:val="Lined - Accent 2"/>
    <w:basedOn w:val="9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87">
    <w:name w:val="Lined - Accent 3"/>
    <w:basedOn w:val="9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88">
    <w:name w:val="Lined - Accent 4"/>
    <w:basedOn w:val="9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89">
    <w:name w:val="Lined - Accent 5"/>
    <w:basedOn w:val="9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90">
    <w:name w:val="Lined - Accent 6"/>
    <w:basedOn w:val="9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91">
    <w:name w:val="Bordered &amp; Lined - Accent"/>
    <w:basedOn w:val="92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2">
    <w:name w:val="Bordered &amp; Lined - Accent 1"/>
    <w:basedOn w:val="92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93">
    <w:name w:val="Bordered &amp; Lined - Accent 2"/>
    <w:basedOn w:val="92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94">
    <w:name w:val="Bordered &amp; Lined - Accent 3"/>
    <w:basedOn w:val="92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95">
    <w:name w:val="Bordered &amp; Lined - Accent 4"/>
    <w:basedOn w:val="92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96">
    <w:name w:val="Bordered &amp; Lined - Accent 5"/>
    <w:basedOn w:val="92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97">
    <w:name w:val="Bordered &amp; Lined - Accent 6"/>
    <w:basedOn w:val="92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98">
    <w:name w:val="Bordered"/>
    <w:basedOn w:val="92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9">
    <w:name w:val="Bordered - Accent 1"/>
    <w:basedOn w:val="92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0">
    <w:name w:val="Bordered - Accent 2"/>
    <w:basedOn w:val="92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1">
    <w:name w:val="Bordered - Accent 3"/>
    <w:basedOn w:val="92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2">
    <w:name w:val="Bordered - Accent 4"/>
    <w:basedOn w:val="92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3">
    <w:name w:val="Bordered - Accent 5"/>
    <w:basedOn w:val="92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4">
    <w:name w:val="Bordered - Accent 6"/>
    <w:basedOn w:val="92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05">
    <w:name w:val="Footnote Text Char"/>
    <w:link w:val="950"/>
    <w:uiPriority w:val="99"/>
    <w:rPr>
      <w:sz w:val="18"/>
    </w:rPr>
  </w:style>
  <w:style w:type="paragraph" w:styleId="906">
    <w:name w:val="endnote text"/>
    <w:basedOn w:val="910"/>
    <w:link w:val="907"/>
    <w:uiPriority w:val="99"/>
    <w:semiHidden/>
    <w:unhideWhenUsed/>
    <w:pPr>
      <w:spacing w:after="0" w:line="240" w:lineRule="auto"/>
    </w:pPr>
    <w:rPr>
      <w:sz w:val="20"/>
    </w:rPr>
  </w:style>
  <w:style w:type="character" w:styleId="907">
    <w:name w:val="Endnote Text Char"/>
    <w:link w:val="906"/>
    <w:uiPriority w:val="99"/>
    <w:rPr>
      <w:sz w:val="20"/>
    </w:rPr>
  </w:style>
  <w:style w:type="character" w:styleId="908">
    <w:name w:val="endnote reference"/>
    <w:basedOn w:val="920"/>
    <w:uiPriority w:val="99"/>
    <w:semiHidden/>
    <w:unhideWhenUsed/>
    <w:rPr>
      <w:vertAlign w:val="superscript"/>
    </w:rPr>
  </w:style>
  <w:style w:type="paragraph" w:styleId="909">
    <w:name w:val="TOC Heading"/>
    <w:uiPriority w:val="39"/>
    <w:unhideWhenUsed/>
  </w:style>
  <w:style w:type="paragraph" w:styleId="910" w:default="1">
    <w:name w:val="Normal"/>
    <w:next w:val="922"/>
    <w:uiPriority w:val="0"/>
    <w:qFormat/>
    <w:pPr>
      <w:jc w:val="both"/>
      <w:widowControl w:val="off"/>
    </w:pPr>
    <w:rPr>
      <w:rFonts w:ascii="Times New Roman" w:hAnsi="Times New Roman" w:eastAsia="楷体_GB2312" w:cs="Times New Roman"/>
      <w:sz w:val="26"/>
      <w:lang w:val="en-US" w:eastAsia="zh-CN" w:bidi="ar-SA"/>
    </w:rPr>
  </w:style>
  <w:style w:type="paragraph" w:styleId="911">
    <w:name w:val="Heading 1"/>
    <w:basedOn w:val="910"/>
    <w:next w:val="910"/>
    <w:link w:val="1046"/>
    <w:uiPriority w:val="0"/>
    <w:qFormat/>
    <w:pPr>
      <w:keepLines/>
      <w:keepNext/>
      <w:spacing w:before="340" w:after="330" w:line="578" w:lineRule="auto"/>
      <w:outlineLvl w:val="0"/>
    </w:pPr>
    <w:rPr>
      <w:b/>
      <w:sz w:val="44"/>
    </w:rPr>
  </w:style>
  <w:style w:type="paragraph" w:styleId="912">
    <w:name w:val="Heading 2"/>
    <w:basedOn w:val="910"/>
    <w:next w:val="910"/>
    <w:uiPriority w:val="0"/>
    <w:qFormat/>
    <w:pPr>
      <w:jc w:val="left"/>
      <w:keepLines/>
      <w:keepNext/>
      <w:outlineLvl w:val="1"/>
    </w:pPr>
    <w:rPr>
      <w:rFonts w:ascii="宋体" w:hAnsi="宋体"/>
      <w:b/>
    </w:rPr>
  </w:style>
  <w:style w:type="paragraph" w:styleId="913">
    <w:name w:val="Heading 3"/>
    <w:basedOn w:val="910"/>
    <w:next w:val="910"/>
    <w:uiPriority w:val="0"/>
    <w:qFormat/>
    <w:pPr>
      <w:jc w:val="left"/>
      <w:keepLines/>
      <w:keepNext/>
      <w:outlineLvl w:val="2"/>
    </w:pPr>
    <w:rPr>
      <w:b/>
    </w:rPr>
  </w:style>
  <w:style w:type="paragraph" w:styleId="914">
    <w:name w:val="Heading 4"/>
    <w:basedOn w:val="910"/>
    <w:next w:val="910"/>
    <w:uiPriority w:val="9"/>
    <w:qFormat/>
    <w:pPr>
      <w:keepLines/>
      <w:keepNext/>
      <w:spacing w:before="280" w:after="290" w:line="376" w:lineRule="auto"/>
      <w:outlineLvl w:val="3"/>
    </w:pPr>
    <w:rPr>
      <w:rFonts w:ascii="Cambria" w:hAnsi="Cambria"/>
      <w:bCs/>
      <w:szCs w:val="28"/>
    </w:rPr>
  </w:style>
  <w:style w:type="paragraph" w:styleId="915">
    <w:name w:val="Heading 5"/>
    <w:basedOn w:val="910"/>
    <w:next w:val="924"/>
    <w:uiPriority w:val="0"/>
    <w:qFormat/>
    <w:pPr>
      <w:numPr>
        <w:ilvl w:val="4"/>
        <w:numId w:val="1"/>
      </w:numPr>
      <w:keepLines/>
      <w:keepNext/>
      <w:spacing w:before="280" w:after="290" w:line="376" w:lineRule="auto"/>
      <w:outlineLvl w:val="4"/>
    </w:pPr>
    <w:rPr>
      <w:rFonts w:ascii="宋体" w:eastAsia="宋体"/>
      <w:b/>
      <w:spacing w:val="-2"/>
      <w:position w:val="-6"/>
      <w:sz w:val="28"/>
    </w:rPr>
  </w:style>
  <w:style w:type="paragraph" w:styleId="916">
    <w:name w:val="Heading 6"/>
    <w:basedOn w:val="910"/>
    <w:next w:val="910"/>
    <w:uiPriority w:val="0"/>
    <w:qFormat/>
    <w:pPr>
      <w:numPr>
        <w:ilvl w:val="5"/>
        <w:numId w:val="1"/>
      </w:numPr>
      <w:keepLines/>
      <w:keepNext/>
      <w:spacing w:before="240" w:after="64" w:line="320" w:lineRule="auto"/>
      <w:outlineLvl w:val="5"/>
    </w:pPr>
    <w:rPr>
      <w:rFonts w:ascii="Arial" w:hAnsi="Arial" w:eastAsia="黑体"/>
      <w:b/>
      <w:spacing w:val="-2"/>
      <w:position w:val="-6"/>
      <w:sz w:val="24"/>
    </w:rPr>
  </w:style>
  <w:style w:type="paragraph" w:styleId="917">
    <w:name w:val="Heading 7"/>
    <w:basedOn w:val="910"/>
    <w:next w:val="924"/>
    <w:uiPriority w:val="0"/>
    <w:qFormat/>
    <w:pPr>
      <w:numPr>
        <w:ilvl w:val="6"/>
        <w:numId w:val="1"/>
      </w:numPr>
      <w:keepLines/>
      <w:keepNext/>
      <w:spacing w:before="240" w:after="64" w:line="320" w:lineRule="auto"/>
      <w:outlineLvl w:val="6"/>
    </w:pPr>
    <w:rPr>
      <w:rFonts w:ascii="宋体" w:eastAsia="宋体"/>
      <w:b/>
      <w:spacing w:val="-2"/>
      <w:position w:val="-6"/>
      <w:sz w:val="24"/>
    </w:rPr>
  </w:style>
  <w:style w:type="paragraph" w:styleId="918">
    <w:name w:val="Heading 8"/>
    <w:basedOn w:val="910"/>
    <w:next w:val="924"/>
    <w:uiPriority w:val="0"/>
    <w:qFormat/>
    <w:pPr>
      <w:numPr>
        <w:ilvl w:val="7"/>
        <w:numId w:val="1"/>
      </w:numPr>
      <w:keepLines/>
      <w:keepNext/>
      <w:spacing w:before="240" w:after="64" w:line="320" w:lineRule="auto"/>
      <w:outlineLvl w:val="7"/>
    </w:pPr>
    <w:rPr>
      <w:rFonts w:ascii="Arial" w:hAnsi="Arial" w:eastAsia="黑体"/>
      <w:spacing w:val="-2"/>
      <w:position w:val="-6"/>
      <w:sz w:val="24"/>
    </w:rPr>
  </w:style>
  <w:style w:type="paragraph" w:styleId="919">
    <w:name w:val="Heading 9"/>
    <w:basedOn w:val="910"/>
    <w:next w:val="924"/>
    <w:uiPriority w:val="0"/>
    <w:qFormat/>
    <w:pPr>
      <w:numPr>
        <w:ilvl w:val="8"/>
        <w:numId w:val="1"/>
      </w:numPr>
      <w:keepLines/>
      <w:keepNext/>
      <w:spacing w:before="240" w:after="64" w:line="320" w:lineRule="auto"/>
      <w:outlineLvl w:val="8"/>
    </w:pPr>
    <w:rPr>
      <w:rFonts w:ascii="Arial" w:hAnsi="Arial" w:eastAsia="黑体"/>
      <w:spacing w:val="-2"/>
      <w:position w:val="-6"/>
      <w:sz w:val="28"/>
    </w:rPr>
  </w:style>
  <w:style w:type="character" w:styleId="920" w:default="1">
    <w:name w:val="Default Paragraph Font"/>
    <w:uiPriority w:val="1"/>
    <w:semiHidden/>
    <w:unhideWhenUsed/>
    <w:qFormat/>
  </w:style>
  <w:style w:type="table" w:styleId="921" w:default="1">
    <w:name w:val="Normal Table"/>
    <w:uiPriority w:val="99"/>
    <w:semiHidden/>
    <w:unhideWhenUsed/>
    <w:qFormat/>
    <w:tblPr>
      <w:tblCellMar>
        <w:left w:w="108" w:type="dxa"/>
        <w:top w:w="0" w:type="dxa"/>
        <w:right w:w="108" w:type="dxa"/>
        <w:bottom w:w="0" w:type="dxa"/>
      </w:tblCellMar>
    </w:tblPr>
  </w:style>
  <w:style w:type="paragraph" w:styleId="922" w:customStyle="1">
    <w:name w:val="Heading 4"/>
    <w:basedOn w:val="910"/>
    <w:next w:val="923"/>
    <w:uiPriority w:val="0"/>
    <w:qFormat/>
    <w:pPr>
      <w:keepLines/>
      <w:keepNext/>
      <w:spacing w:before="120" w:after="120"/>
    </w:pPr>
    <w:rPr>
      <w:rFonts w:ascii="Cambria" w:hAnsi="Cambria" w:eastAsia="华文细黑"/>
      <w:b/>
      <w:sz w:val="28"/>
    </w:rPr>
  </w:style>
  <w:style w:type="paragraph" w:styleId="923" w:customStyle="1">
    <w:name w:val="NormalIndent"/>
    <w:basedOn w:val="910"/>
    <w:uiPriority w:val="0"/>
    <w:qFormat/>
    <w:pPr>
      <w:ind w:firstLine="420"/>
    </w:pPr>
  </w:style>
  <w:style w:type="paragraph" w:styleId="924">
    <w:name w:val="Normal Indent"/>
    <w:basedOn w:val="910"/>
    <w:next w:val="910"/>
    <w:link w:val="984"/>
    <w:uiPriority w:val="0"/>
    <w:qFormat/>
    <w:pPr>
      <w:ind w:firstLine="420"/>
      <w:jc w:val="left"/>
    </w:pPr>
    <w:rPr>
      <w:sz w:val="24"/>
    </w:rPr>
  </w:style>
  <w:style w:type="paragraph" w:styleId="925">
    <w:name w:val="toc 7"/>
    <w:basedOn w:val="910"/>
    <w:next w:val="910"/>
    <w:uiPriority w:val="0"/>
    <w:qFormat/>
    <w:pPr>
      <w:ind w:left="2520"/>
    </w:pPr>
  </w:style>
  <w:style w:type="paragraph" w:styleId="926">
    <w:name w:val="index 8"/>
    <w:basedOn w:val="910"/>
    <w:next w:val="910"/>
    <w:uiPriority w:val="0"/>
    <w:qFormat/>
    <w:pPr>
      <w:ind w:left="2940"/>
    </w:pPr>
  </w:style>
  <w:style w:type="paragraph" w:styleId="927">
    <w:name w:val="index 5"/>
    <w:basedOn w:val="910"/>
    <w:next w:val="910"/>
    <w:uiPriority w:val="0"/>
    <w:qFormat/>
    <w:pPr>
      <w:ind w:left="1680"/>
    </w:pPr>
  </w:style>
  <w:style w:type="paragraph" w:styleId="928">
    <w:name w:val="Document Map"/>
    <w:basedOn w:val="910"/>
    <w:uiPriority w:val="0"/>
    <w:qFormat/>
    <w:pPr>
      <w:shd w:val="clear" w:color="auto" w:fill="000080"/>
    </w:pPr>
  </w:style>
  <w:style w:type="paragraph" w:styleId="929">
    <w:name w:val="annotation text"/>
    <w:basedOn w:val="910"/>
    <w:link w:val="1036"/>
    <w:uiPriority w:val="0"/>
    <w:qFormat/>
    <w:pPr>
      <w:jc w:val="left"/>
    </w:pPr>
  </w:style>
  <w:style w:type="paragraph" w:styleId="930">
    <w:name w:val="index 6"/>
    <w:basedOn w:val="910"/>
    <w:next w:val="910"/>
    <w:uiPriority w:val="0"/>
    <w:qFormat/>
    <w:pPr>
      <w:ind w:left="2100"/>
    </w:pPr>
  </w:style>
  <w:style w:type="paragraph" w:styleId="931">
    <w:name w:val="Body Text"/>
    <w:basedOn w:val="910"/>
    <w:next w:val="910"/>
    <w:uiPriority w:val="0"/>
    <w:qFormat/>
    <w:pPr>
      <w:spacing w:line="400" w:lineRule="exact"/>
    </w:pPr>
    <w:rPr>
      <w:rFonts w:ascii="楷体_GB2312"/>
      <w:sz w:val="28"/>
    </w:rPr>
  </w:style>
  <w:style w:type="paragraph" w:styleId="932">
    <w:name w:val="Body Text Indent"/>
    <w:basedOn w:val="910"/>
    <w:next w:val="910"/>
    <w:uiPriority w:val="0"/>
    <w:qFormat/>
    <w:pPr>
      <w:ind w:left="570"/>
      <w:spacing w:line="520" w:lineRule="exact"/>
    </w:pPr>
    <w:rPr>
      <w:rFonts w:ascii="方正仿宋简体" w:hAnsi="创艺简仿宋" w:eastAsia="方正仿宋简体"/>
      <w:sz w:val="24"/>
    </w:rPr>
  </w:style>
  <w:style w:type="paragraph" w:styleId="933">
    <w:name w:val="List Continue"/>
    <w:basedOn w:val="910"/>
    <w:uiPriority w:val="99"/>
    <w:unhideWhenUsed/>
    <w:qFormat/>
    <w:pPr>
      <w:ind w:left="200"/>
      <w:spacing w:after="120"/>
    </w:pPr>
    <w:rPr>
      <w:rFonts w:ascii="宋体" w:hAnsi="宋体" w:cs="Symbol"/>
      <w:sz w:val="28"/>
    </w:rPr>
  </w:style>
  <w:style w:type="paragraph" w:styleId="934">
    <w:name w:val="index 4"/>
    <w:basedOn w:val="910"/>
    <w:next w:val="910"/>
    <w:uiPriority w:val="0"/>
    <w:qFormat/>
    <w:pPr>
      <w:ind w:left="1260"/>
    </w:pPr>
  </w:style>
  <w:style w:type="paragraph" w:styleId="935">
    <w:name w:val="toc 5"/>
    <w:basedOn w:val="910"/>
    <w:next w:val="910"/>
    <w:uiPriority w:val="0"/>
    <w:qFormat/>
    <w:pPr>
      <w:ind w:left="1680"/>
    </w:pPr>
  </w:style>
  <w:style w:type="paragraph" w:styleId="936">
    <w:name w:val="toc 3"/>
    <w:basedOn w:val="910"/>
    <w:next w:val="910"/>
    <w:uiPriority w:val="0"/>
    <w:qFormat/>
    <w:pPr>
      <w:ind w:left="840"/>
    </w:pPr>
  </w:style>
  <w:style w:type="paragraph" w:styleId="937">
    <w:name w:val="Plain Text"/>
    <w:basedOn w:val="910"/>
    <w:next w:val="924"/>
    <w:link w:val="988"/>
    <w:uiPriority w:val="0"/>
    <w:qFormat/>
    <w:rPr>
      <w:rFonts w:ascii="宋体" w:hAnsi="Courier New"/>
    </w:rPr>
  </w:style>
  <w:style w:type="paragraph" w:styleId="938">
    <w:name w:val="toc 8"/>
    <w:basedOn w:val="910"/>
    <w:next w:val="910"/>
    <w:uiPriority w:val="0"/>
    <w:qFormat/>
    <w:pPr>
      <w:ind w:left="2940"/>
    </w:pPr>
  </w:style>
  <w:style w:type="paragraph" w:styleId="939">
    <w:name w:val="index 3"/>
    <w:basedOn w:val="910"/>
    <w:next w:val="910"/>
    <w:uiPriority w:val="0"/>
    <w:qFormat/>
    <w:pPr>
      <w:ind w:left="840"/>
    </w:pPr>
  </w:style>
  <w:style w:type="paragraph" w:styleId="940">
    <w:name w:val="Date"/>
    <w:basedOn w:val="910"/>
    <w:next w:val="910"/>
    <w:link w:val="989"/>
    <w:uiPriority w:val="0"/>
    <w:qFormat/>
    <w:rPr>
      <w:rFonts w:ascii="宋体" w:hAnsi="宋体"/>
      <w:sz w:val="24"/>
    </w:rPr>
  </w:style>
  <w:style w:type="paragraph" w:styleId="941">
    <w:name w:val="Body Text Indent 2"/>
    <w:basedOn w:val="910"/>
    <w:uiPriority w:val="0"/>
    <w:qFormat/>
    <w:pPr>
      <w:ind w:firstLine="502"/>
      <w:spacing w:line="360" w:lineRule="auto"/>
      <w:tabs>
        <w:tab w:val="left" w:pos="0" w:leader="none"/>
      </w:tabs>
    </w:pPr>
    <w:rPr>
      <w:rFonts w:ascii="宋体" w:eastAsia="宋体"/>
      <w:b/>
      <w:bCs/>
      <w:sz w:val="24"/>
    </w:rPr>
  </w:style>
  <w:style w:type="paragraph" w:styleId="942">
    <w:name w:val="Balloon Text"/>
    <w:basedOn w:val="910"/>
    <w:uiPriority w:val="0"/>
    <w:qFormat/>
    <w:rPr>
      <w:sz w:val="18"/>
      <w:szCs w:val="18"/>
    </w:rPr>
  </w:style>
  <w:style w:type="paragraph" w:styleId="943">
    <w:name w:val="Footer"/>
    <w:basedOn w:val="910"/>
    <w:link w:val="1044"/>
    <w:uiPriority w:val="99"/>
    <w:qFormat/>
    <w:pPr>
      <w:jc w:val="left"/>
      <w:tabs>
        <w:tab w:val="center" w:pos="4153" w:leader="none"/>
        <w:tab w:val="right" w:pos="8306" w:leader="none"/>
      </w:tabs>
    </w:pPr>
    <w:rPr>
      <w:sz w:val="18"/>
    </w:rPr>
  </w:style>
  <w:style w:type="paragraph" w:styleId="944">
    <w:name w:val="envelope return"/>
    <w:basedOn w:val="910"/>
    <w:uiPriority w:val="0"/>
    <w:qFormat/>
    <w:rPr>
      <w:rFonts w:ascii="Arial" w:hAnsi="Arial"/>
    </w:rPr>
  </w:style>
  <w:style w:type="paragraph" w:styleId="945">
    <w:name w:val="Header"/>
    <w:basedOn w:val="910"/>
    <w:link w:val="1045"/>
    <w:uiPriority w:val="99"/>
    <w:qFormat/>
    <w:pPr>
      <w:jc w:val="center"/>
      <w:tabs>
        <w:tab w:val="center" w:pos="4153" w:leader="none"/>
        <w:tab w:val="right" w:pos="8306" w:leader="none"/>
      </w:tabs>
      <w:pBdr>
        <w:bottom w:val="single" w:color="auto" w:sz="6" w:space="1"/>
      </w:pBdr>
    </w:pPr>
    <w:rPr>
      <w:sz w:val="18"/>
    </w:rPr>
  </w:style>
  <w:style w:type="paragraph" w:styleId="946">
    <w:name w:val="toc 1"/>
    <w:basedOn w:val="910"/>
    <w:next w:val="910"/>
    <w:uiPriority w:val="0"/>
    <w:qFormat/>
    <w:pPr>
      <w:tabs>
        <w:tab w:val="right" w:pos="9026" w:leader="dot"/>
      </w:tabs>
    </w:pPr>
    <w:rPr>
      <w:rFonts w:ascii="宋体" w:hAnsi="宋体" w:eastAsia="宋体"/>
      <w:sz w:val="24"/>
    </w:rPr>
  </w:style>
  <w:style w:type="paragraph" w:styleId="947">
    <w:name w:val="toc 4"/>
    <w:basedOn w:val="910"/>
    <w:next w:val="910"/>
    <w:uiPriority w:val="0"/>
    <w:qFormat/>
    <w:pPr>
      <w:ind w:left="1260"/>
    </w:pPr>
  </w:style>
  <w:style w:type="paragraph" w:styleId="948">
    <w:name w:val="index heading"/>
    <w:basedOn w:val="910"/>
    <w:next w:val="949"/>
    <w:uiPriority w:val="0"/>
    <w:qFormat/>
  </w:style>
  <w:style w:type="paragraph" w:styleId="949">
    <w:name w:val="index 1"/>
    <w:basedOn w:val="910"/>
    <w:next w:val="910"/>
    <w:uiPriority w:val="0"/>
    <w:qFormat/>
  </w:style>
  <w:style w:type="paragraph" w:styleId="950">
    <w:name w:val="footnote text"/>
    <w:basedOn w:val="910"/>
    <w:uiPriority w:val="0"/>
    <w:qFormat/>
    <w:pPr>
      <w:jc w:val="left"/>
    </w:pPr>
    <w:rPr>
      <w:sz w:val="18"/>
    </w:rPr>
  </w:style>
  <w:style w:type="paragraph" w:styleId="951">
    <w:name w:val="toc 6"/>
    <w:basedOn w:val="910"/>
    <w:next w:val="910"/>
    <w:uiPriority w:val="0"/>
    <w:qFormat/>
    <w:pPr>
      <w:ind w:left="2100"/>
    </w:pPr>
  </w:style>
  <w:style w:type="paragraph" w:styleId="952">
    <w:name w:val="Body Text Indent 3"/>
    <w:basedOn w:val="910"/>
    <w:uiPriority w:val="0"/>
    <w:qFormat/>
    <w:pPr>
      <w:ind w:firstLine="617"/>
      <w:spacing w:line="360" w:lineRule="auto"/>
    </w:pPr>
    <w:rPr>
      <w:rFonts w:eastAsia="宋体"/>
      <w:sz w:val="24"/>
      <w:szCs w:val="24"/>
    </w:rPr>
  </w:style>
  <w:style w:type="paragraph" w:styleId="953">
    <w:name w:val="index 7"/>
    <w:basedOn w:val="910"/>
    <w:next w:val="910"/>
    <w:uiPriority w:val="0"/>
    <w:qFormat/>
    <w:pPr>
      <w:ind w:left="2520"/>
    </w:pPr>
  </w:style>
  <w:style w:type="paragraph" w:styleId="954">
    <w:name w:val="index 9"/>
    <w:basedOn w:val="910"/>
    <w:next w:val="910"/>
    <w:uiPriority w:val="0"/>
    <w:qFormat/>
    <w:pPr>
      <w:ind w:left="3360"/>
    </w:pPr>
  </w:style>
  <w:style w:type="paragraph" w:styleId="955">
    <w:name w:val="table of figures"/>
    <w:basedOn w:val="910"/>
    <w:next w:val="910"/>
    <w:uiPriority w:val="0"/>
    <w:qFormat/>
    <w:pPr>
      <w:ind w:left="420" w:hanging="420"/>
      <w:jc w:val="left"/>
    </w:pPr>
    <w:rPr>
      <w:smallCaps/>
      <w:sz w:val="24"/>
    </w:rPr>
  </w:style>
  <w:style w:type="paragraph" w:styleId="956">
    <w:name w:val="toc 2"/>
    <w:basedOn w:val="910"/>
    <w:next w:val="910"/>
    <w:uiPriority w:val="0"/>
    <w:qFormat/>
    <w:pPr>
      <w:ind w:left="420"/>
    </w:pPr>
  </w:style>
  <w:style w:type="paragraph" w:styleId="957">
    <w:name w:val="toc 9"/>
    <w:basedOn w:val="910"/>
    <w:next w:val="910"/>
    <w:uiPriority w:val="0"/>
    <w:qFormat/>
    <w:pPr>
      <w:ind w:left="3360"/>
    </w:pPr>
  </w:style>
  <w:style w:type="paragraph" w:styleId="958">
    <w:name w:val="HTML Preformatted"/>
    <w:basedOn w:val="91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楷体_GB2312"/>
      <w:sz w:val="20"/>
    </w:rPr>
  </w:style>
  <w:style w:type="paragraph" w:styleId="959">
    <w:name w:val="Normal (Web)"/>
    <w:basedOn w:val="910"/>
    <w:uiPriority w:val="99"/>
    <w:qFormat/>
    <w:pPr>
      <w:jc w:val="left"/>
      <w:spacing w:before="100" w:beforeAutospacing="1" w:after="100" w:afterAutospacing="1"/>
      <w:widowControl/>
    </w:pPr>
    <w:rPr>
      <w:rFonts w:hint="eastAsia" w:ascii="宋体" w:hAnsi="宋体" w:eastAsia="宋体"/>
      <w:sz w:val="24"/>
      <w:szCs w:val="24"/>
    </w:rPr>
  </w:style>
  <w:style w:type="paragraph" w:styleId="960">
    <w:name w:val="index 2"/>
    <w:basedOn w:val="910"/>
    <w:next w:val="910"/>
    <w:uiPriority w:val="0"/>
    <w:qFormat/>
    <w:pPr>
      <w:ind w:left="420"/>
    </w:pPr>
  </w:style>
  <w:style w:type="paragraph" w:styleId="961">
    <w:name w:val="Title"/>
    <w:basedOn w:val="910"/>
    <w:next w:val="910"/>
    <w:link w:val="1047"/>
    <w:uiPriority w:val="10"/>
    <w:qFormat/>
    <w:pPr>
      <w:jc w:val="center"/>
    </w:pPr>
    <w:rPr>
      <w:rFonts w:ascii="黑体" w:hAnsi="黑体" w:eastAsia="黑体"/>
      <w:sz w:val="28"/>
      <w:szCs w:val="24"/>
    </w:rPr>
  </w:style>
  <w:style w:type="paragraph" w:styleId="962">
    <w:name w:val="annotation subject"/>
    <w:basedOn w:val="929"/>
    <w:next w:val="929"/>
    <w:uiPriority w:val="0"/>
    <w:qFormat/>
    <w:rPr>
      <w:bCs/>
    </w:rPr>
  </w:style>
  <w:style w:type="paragraph" w:styleId="963">
    <w:name w:val="Body Text First Indent"/>
    <w:basedOn w:val="931"/>
    <w:uiPriority w:val="0"/>
    <w:qFormat/>
    <w:pPr>
      <w:ind w:firstLine="420"/>
      <w:spacing w:after="120" w:line="240" w:lineRule="auto"/>
    </w:pPr>
    <w:rPr>
      <w:rFonts w:ascii="Times New Roman"/>
      <w:sz w:val="26"/>
    </w:rPr>
  </w:style>
  <w:style w:type="paragraph" w:styleId="964">
    <w:name w:val="Body Text First Indent 2"/>
    <w:basedOn w:val="932"/>
    <w:next w:val="910"/>
    <w:uiPriority w:val="99"/>
    <w:semiHidden/>
    <w:unhideWhenUsed/>
    <w:qFormat/>
    <w:pPr>
      <w:ind w:firstLine="420"/>
    </w:pPr>
  </w:style>
  <w:style w:type="table" w:styleId="965">
    <w:name w:val="Table Grid"/>
    <w:basedOn w:val="921"/>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66">
    <w:name w:val="Strong"/>
    <w:basedOn w:val="920"/>
    <w:uiPriority w:val="22"/>
    <w:qFormat/>
    <w:rPr>
      <w:b/>
      <w:bCs/>
    </w:rPr>
  </w:style>
  <w:style w:type="character" w:styleId="967">
    <w:name w:val="page number"/>
    <w:basedOn w:val="920"/>
    <w:uiPriority w:val="0"/>
    <w:qFormat/>
  </w:style>
  <w:style w:type="character" w:styleId="968">
    <w:name w:val="FollowedHyperlink"/>
    <w:basedOn w:val="920"/>
    <w:uiPriority w:val="99"/>
    <w:semiHidden/>
    <w:unhideWhenUsed/>
    <w:qFormat/>
    <w:rPr>
      <w:color w:val="333333"/>
      <w:u w:val="none"/>
    </w:rPr>
  </w:style>
  <w:style w:type="character" w:styleId="969">
    <w:name w:val="Emphasis"/>
    <w:basedOn w:val="920"/>
    <w:uiPriority w:val="20"/>
    <w:qFormat/>
  </w:style>
  <w:style w:type="character" w:styleId="970">
    <w:name w:val="HTML Definition"/>
    <w:basedOn w:val="920"/>
    <w:uiPriority w:val="99"/>
    <w:semiHidden/>
    <w:unhideWhenUsed/>
    <w:qFormat/>
  </w:style>
  <w:style w:type="character" w:styleId="971">
    <w:name w:val="HTML Typewriter"/>
    <w:basedOn w:val="920"/>
    <w:uiPriority w:val="99"/>
    <w:semiHidden/>
    <w:unhideWhenUsed/>
    <w:qFormat/>
    <w:rPr>
      <w:rFonts w:hint="default" w:ascii="monospace" w:hAnsi="monospace" w:eastAsia="monospace" w:cs="monospace"/>
      <w:sz w:val="20"/>
    </w:rPr>
  </w:style>
  <w:style w:type="character" w:styleId="972">
    <w:name w:val="HTML Acronym"/>
    <w:basedOn w:val="920"/>
    <w:uiPriority w:val="99"/>
    <w:semiHidden/>
    <w:unhideWhenUsed/>
    <w:qFormat/>
  </w:style>
  <w:style w:type="character" w:styleId="973">
    <w:name w:val="HTML Variable"/>
    <w:basedOn w:val="920"/>
    <w:uiPriority w:val="99"/>
    <w:semiHidden/>
    <w:unhideWhenUsed/>
    <w:qFormat/>
  </w:style>
  <w:style w:type="character" w:styleId="974">
    <w:name w:val="Hyperlink"/>
    <w:basedOn w:val="920"/>
    <w:uiPriority w:val="99"/>
    <w:unhideWhenUsed/>
    <w:qFormat/>
    <w:rPr>
      <w:color w:val="0000ff"/>
      <w:u w:val="none"/>
    </w:rPr>
  </w:style>
  <w:style w:type="character" w:styleId="975">
    <w:name w:val="HTML Code"/>
    <w:basedOn w:val="920"/>
    <w:uiPriority w:val="99"/>
    <w:semiHidden/>
    <w:unhideWhenUsed/>
    <w:qFormat/>
    <w:rPr>
      <w:rFonts w:hint="default" w:ascii="monospace" w:hAnsi="monospace" w:eastAsia="monospace" w:cs="monospace"/>
      <w:sz w:val="20"/>
    </w:rPr>
  </w:style>
  <w:style w:type="character" w:styleId="976">
    <w:name w:val="annotation reference"/>
    <w:uiPriority w:val="0"/>
    <w:qFormat/>
    <w:rPr>
      <w:sz w:val="21"/>
      <w:szCs w:val="21"/>
    </w:rPr>
  </w:style>
  <w:style w:type="character" w:styleId="977">
    <w:name w:val="HTML Cite"/>
    <w:basedOn w:val="920"/>
    <w:uiPriority w:val="99"/>
    <w:semiHidden/>
    <w:unhideWhenUsed/>
    <w:qFormat/>
  </w:style>
  <w:style w:type="character" w:styleId="978">
    <w:name w:val="footnote reference"/>
    <w:uiPriority w:val="0"/>
    <w:qFormat/>
    <w:rPr>
      <w:vertAlign w:val="superscript"/>
    </w:rPr>
  </w:style>
  <w:style w:type="character" w:styleId="979">
    <w:name w:val="HTML Keyboard"/>
    <w:basedOn w:val="920"/>
    <w:uiPriority w:val="99"/>
    <w:semiHidden/>
    <w:unhideWhenUsed/>
    <w:qFormat/>
    <w:rPr>
      <w:rFonts w:ascii="monospace" w:hAnsi="monospace" w:eastAsia="monospace" w:cs="monospace"/>
      <w:sz w:val="20"/>
    </w:rPr>
  </w:style>
  <w:style w:type="character" w:styleId="980">
    <w:name w:val="HTML Sample"/>
    <w:basedOn w:val="920"/>
    <w:uiPriority w:val="99"/>
    <w:semiHidden/>
    <w:unhideWhenUsed/>
    <w:qFormat/>
    <w:rPr>
      <w:rFonts w:hint="default" w:ascii="monospace" w:hAnsi="monospace" w:eastAsia="monospace" w:cs="monospace"/>
    </w:rPr>
  </w:style>
  <w:style w:type="paragraph" w:styleId="981" w:customStyle="1">
    <w:name w:val="正文1"/>
    <w:next w:val="910"/>
    <w:uiPriority w:val="0"/>
    <w:qFormat/>
    <w:pPr>
      <w:jc w:val="both"/>
      <w:spacing w:line="360" w:lineRule="atLeast"/>
      <w:widowControl w:val="off"/>
    </w:pPr>
    <w:rPr>
      <w:rFonts w:ascii="Times New Roman" w:hAnsi="Times New Roman" w:eastAsia="宋体" w:cs="Times New Roman"/>
      <w:lang w:val="en-US" w:eastAsia="zh-CN" w:bidi="ar-SA"/>
    </w:rPr>
  </w:style>
  <w:style w:type="paragraph" w:styleId="982" w:customStyle="1">
    <w:name w:val="段"/>
    <w:next w:val="910"/>
    <w:uiPriority w:val="99"/>
    <w:qFormat/>
    <w:pPr>
      <w:ind w:firstLine="200"/>
      <w:jc w:val="both"/>
      <w:spacing w:line="360" w:lineRule="auto"/>
    </w:pPr>
    <w:rPr>
      <w:rFonts w:ascii="宋体" w:hAnsi="Calibri" w:eastAsia="宋体" w:cs="Times New Roman"/>
      <w:sz w:val="24"/>
      <w:szCs w:val="22"/>
      <w:lang w:val="en-US" w:eastAsia="zh-CN" w:bidi="ar-SA"/>
    </w:rPr>
  </w:style>
  <w:style w:type="paragraph" w:styleId="983" w:customStyle="1">
    <w:name w:val="目录 51"/>
    <w:next w:val="910"/>
    <w:uiPriority w:val="0"/>
    <w:qFormat/>
    <w:pPr>
      <w:ind w:left="1275"/>
      <w:jc w:val="both"/>
    </w:pPr>
    <w:rPr>
      <w:rFonts w:ascii="Times New Roman" w:hAnsi="Times New Roman" w:eastAsia="宋体" w:cs="Times New Roman"/>
      <w:sz w:val="21"/>
      <w:lang w:val="en-US" w:eastAsia="zh-CN" w:bidi="ar-SA"/>
    </w:rPr>
  </w:style>
  <w:style w:type="character" w:styleId="984" w:customStyle="1">
    <w:name w:val="正文缩进 字符"/>
    <w:link w:val="924"/>
    <w:uiPriority w:val="0"/>
    <w:qFormat/>
    <w:rPr>
      <w:rFonts w:eastAsia="楷体_GB2312"/>
      <w:sz w:val="24"/>
      <w:lang w:val="en-US" w:eastAsia="zh-CN" w:bidi="ar-SA"/>
    </w:rPr>
  </w:style>
  <w:style w:type="character" w:styleId="985" w:customStyle="1">
    <w:name w:val="列出段落 Char"/>
    <w:link w:val="986"/>
    <w:uiPriority w:val="0"/>
    <w:qFormat/>
    <w:rPr>
      <w:rFonts w:eastAsia="楷体_GB2312"/>
      <w:sz w:val="26"/>
      <w:lang w:val="zh-CN" w:eastAsia="zh-CN" w:bidi="ar-SA"/>
    </w:rPr>
  </w:style>
  <w:style w:type="paragraph" w:styleId="986" w:customStyle="1">
    <w:name w:val="序号"/>
    <w:basedOn w:val="910"/>
    <w:next w:val="987"/>
    <w:link w:val="985"/>
    <w:uiPriority w:val="0"/>
    <w:qFormat/>
    <w:pPr>
      <w:ind w:firstLine="420"/>
    </w:pPr>
    <w:rPr>
      <w:lang w:val="zh-CN"/>
    </w:rPr>
  </w:style>
  <w:style w:type="paragraph" w:styleId="987" w:customStyle="1">
    <w:name w:val="列表段落1"/>
    <w:basedOn w:val="910"/>
    <w:uiPriority w:val="34"/>
    <w:qFormat/>
    <w:pPr>
      <w:ind w:firstLine="420"/>
    </w:pPr>
  </w:style>
  <w:style w:type="character" w:styleId="988" w:customStyle="1">
    <w:name w:val="纯文本 字符"/>
    <w:link w:val="937"/>
    <w:uiPriority w:val="0"/>
    <w:qFormat/>
    <w:rPr>
      <w:rFonts w:ascii="宋体" w:hAnsi="Courier New" w:eastAsia="楷体_GB2312"/>
      <w:sz w:val="26"/>
      <w:lang w:val="en-US" w:eastAsia="zh-CN" w:bidi="ar-SA"/>
    </w:rPr>
  </w:style>
  <w:style w:type="character" w:styleId="989" w:customStyle="1">
    <w:name w:val="日期 字符"/>
    <w:link w:val="940"/>
    <w:uiPriority w:val="0"/>
    <w:qFormat/>
    <w:rPr>
      <w:rFonts w:ascii="宋体" w:hAnsi="宋体" w:eastAsia="楷体_GB2312"/>
      <w:sz w:val="24"/>
      <w:lang w:val="en-US" w:eastAsia="zh-CN" w:bidi="ar-SA"/>
    </w:rPr>
  </w:style>
  <w:style w:type="character" w:styleId="990" w:customStyle="1">
    <w:name w:val="表格正文 字符"/>
    <w:link w:val="991"/>
    <w:uiPriority w:val="0"/>
    <w:qFormat/>
    <w:rPr>
      <w:rFonts w:ascii="宋体" w:hAnsi="宋体" w:eastAsia="楷体_GB2312"/>
      <w:sz w:val="26"/>
      <w:szCs w:val="24"/>
      <w:lang w:val="en-US" w:eastAsia="zh-CN" w:bidi="ar-SA"/>
    </w:rPr>
  </w:style>
  <w:style w:type="paragraph" w:styleId="991" w:customStyle="1">
    <w:name w:val="表格正文"/>
    <w:basedOn w:val="910"/>
    <w:next w:val="910"/>
    <w:link w:val="990"/>
    <w:uiPriority w:val="0"/>
    <w:qFormat/>
    <w:rPr>
      <w:rFonts w:ascii="宋体" w:hAnsi="宋体"/>
      <w:szCs w:val="24"/>
    </w:rPr>
  </w:style>
  <w:style w:type="character" w:styleId="992" w:customStyle="1">
    <w:name w:val="缩进正文 字符"/>
    <w:link w:val="993"/>
    <w:uiPriority w:val="0"/>
    <w:qFormat/>
    <w:rPr>
      <w:rFonts w:ascii="Calibri" w:hAnsi="Calibri" w:eastAsia="楷体_GB2312"/>
      <w:sz w:val="26"/>
      <w:szCs w:val="24"/>
      <w:lang w:val="en-US" w:eastAsia="zh-CN" w:bidi="ar-SA"/>
    </w:rPr>
  </w:style>
  <w:style w:type="paragraph" w:styleId="993" w:customStyle="1">
    <w:name w:val="缩进正文"/>
    <w:basedOn w:val="910"/>
    <w:link w:val="992"/>
    <w:uiPriority w:val="0"/>
    <w:qFormat/>
    <w:pPr>
      <w:ind w:firstLine="200"/>
    </w:pPr>
    <w:rPr>
      <w:rFonts w:ascii="Calibri" w:hAnsi="Calibri"/>
      <w:szCs w:val="24"/>
    </w:rPr>
  </w:style>
  <w:style w:type="paragraph" w:styleId="994" w:customStyle="1">
    <w:name w:val="Char Char Char"/>
    <w:basedOn w:val="910"/>
    <w:uiPriority w:val="0"/>
    <w:qFormat/>
    <w:pPr>
      <w:numPr>
        <w:ilvl w:val="0"/>
        <w:numId w:val="1"/>
      </w:numPr>
      <w:tabs>
        <w:tab w:val="clear" w:pos="432" w:leader="none"/>
        <w:tab w:val="left" w:pos="840" w:leader="none"/>
      </w:tabs>
    </w:pPr>
    <w:rPr>
      <w:rFonts w:eastAsia="宋体"/>
      <w:sz w:val="21"/>
      <w:szCs w:val="24"/>
    </w:rPr>
  </w:style>
  <w:style w:type="paragraph" w:styleId="995" w:customStyle="1">
    <w:name w:val="Char Char Char1 Char Char Char Char"/>
    <w:basedOn w:val="910"/>
    <w:uiPriority w:val="0"/>
    <w:qFormat/>
    <w:pPr>
      <w:jc w:val="left"/>
      <w:spacing w:after="160" w:line="240" w:lineRule="exact"/>
      <w:widowControl/>
    </w:pPr>
    <w:rPr>
      <w:rFonts w:eastAsia="宋体"/>
      <w:sz w:val="24"/>
      <w:szCs w:val="24"/>
    </w:rPr>
  </w:style>
  <w:style w:type="paragraph" w:styleId="996" w:customStyle="1">
    <w:name w:val="正文 A"/>
    <w:uiPriority w:val="0"/>
    <w:qFormat/>
    <w:pPr>
      <w:jc w:val="both"/>
      <w:widowControl w:val="off"/>
    </w:pPr>
    <w:rPr>
      <w:rFonts w:ascii="Times New Roman" w:hAnsi="Arial Unicode MS" w:eastAsia="Arial Unicode MS" w:cs="Arial Unicode MS"/>
      <w:color w:val="000000"/>
      <w:sz w:val="21"/>
      <w:szCs w:val="21"/>
      <w:lang w:val="en-US" w:eastAsia="zh-CN" w:bidi="ar-SA"/>
    </w:rPr>
  </w:style>
  <w:style w:type="paragraph" w:styleId="997" w:customStyle="1">
    <w:name w:val="首行缩进"/>
    <w:basedOn w:val="910"/>
    <w:uiPriority w:val="0"/>
    <w:qFormat/>
    <w:pPr>
      <w:ind w:firstLine="480"/>
    </w:pPr>
    <w:rPr>
      <w:lang w:val="zh-CN"/>
    </w:rPr>
  </w:style>
  <w:style w:type="paragraph" w:styleId="998" w:customStyle="1">
    <w:name w:val="纯文本1"/>
    <w:basedOn w:val="910"/>
    <w:uiPriority w:val="0"/>
    <w:qFormat/>
    <w:rPr>
      <w:rFonts w:ascii="宋体" w:hAnsi="Courier New"/>
    </w:rPr>
  </w:style>
  <w:style w:type="paragraph" w:styleId="999" w:customStyle="1">
    <w:name w:val="_Style 1"/>
    <w:basedOn w:val="910"/>
    <w:uiPriority w:val="34"/>
    <w:qFormat/>
    <w:pPr>
      <w:ind w:firstLine="420"/>
      <w:spacing w:line="312" w:lineRule="auto"/>
    </w:pPr>
  </w:style>
  <w:style w:type="paragraph" w:styleId="1000" w:customStyle="1">
    <w:name w:val="_Style 12"/>
    <w:basedOn w:val="928"/>
    <w:uiPriority w:val="0"/>
    <w:qFormat/>
    <w:pPr>
      <w:spacing w:line="360" w:lineRule="auto"/>
    </w:pPr>
  </w:style>
  <w:style w:type="paragraph" w:styleId="1001" w:customStyle="1">
    <w:name w:val="列出段落1"/>
    <w:basedOn w:val="910"/>
    <w:uiPriority w:val="0"/>
    <w:qFormat/>
    <w:pPr>
      <w:ind w:firstLine="420"/>
    </w:pPr>
    <w:rPr>
      <w:rFonts w:ascii="Calibri" w:hAnsi="Calibri"/>
      <w:szCs w:val="21"/>
    </w:rPr>
  </w:style>
  <w:style w:type="paragraph" w:styleId="1002" w:customStyle="1">
    <w:name w:val="缩进正文-"/>
    <w:basedOn w:val="910"/>
    <w:uiPriority w:val="0"/>
    <w:qFormat/>
    <w:pPr>
      <w:ind w:firstLine="200"/>
      <w:spacing w:before="100" w:beforeAutospacing="1" w:line="360" w:lineRule="auto"/>
    </w:pPr>
    <w:rPr>
      <w:rFonts w:ascii="宋体" w:hAnsi="宋体" w:eastAsia="宋体"/>
      <w:color w:val="000000"/>
      <w:sz w:val="24"/>
      <w:szCs w:val="21"/>
    </w:rPr>
  </w:style>
  <w:style w:type="paragraph" w:styleId="1003" w:customStyle="1">
    <w:name w:val="*正文"/>
    <w:basedOn w:val="910"/>
    <w:uiPriority w:val="0"/>
    <w:qFormat/>
    <w:pPr>
      <w:ind w:firstLine="200"/>
      <w:spacing w:line="360" w:lineRule="auto"/>
      <w:widowControl/>
    </w:pPr>
    <w:rPr>
      <w:rFonts w:ascii="仿宋_GB2312" w:hAnsi="Calibri" w:eastAsia="仿宋_GB2312"/>
      <w:sz w:val="24"/>
      <w:szCs w:val="28"/>
    </w:rPr>
  </w:style>
  <w:style w:type="paragraph" w:styleId="1004" w:customStyle="1">
    <w:name w:val="纯文本11"/>
    <w:basedOn w:val="910"/>
    <w:uiPriority w:val="99"/>
    <w:qFormat/>
    <w:rPr>
      <w:rFonts w:ascii="宋体" w:hAnsi="Courier New"/>
    </w:rPr>
  </w:style>
  <w:style w:type="paragraph" w:styleId="1005" w:customStyle="1">
    <w:name w:val="Char Char Char1 Char"/>
    <w:basedOn w:val="910"/>
    <w:uiPriority w:val="0"/>
    <w:semiHidden/>
    <w:qFormat/>
    <w:pPr>
      <w:ind w:firstLine="200"/>
      <w:spacing w:line="360" w:lineRule="auto"/>
    </w:pPr>
    <w:rPr>
      <w:rFonts w:ascii="宋体" w:hAnsi="宋体" w:cs="宋体"/>
      <w:sz w:val="24"/>
    </w:rPr>
  </w:style>
  <w:style w:type="paragraph" w:styleId="1006" w:customStyle="1">
    <w:name w:val="Char Char1 Char Char Char Char"/>
    <w:basedOn w:val="928"/>
    <w:uiPriority w:val="0"/>
    <w:qFormat/>
    <w:pPr>
      <w:spacing w:line="360" w:lineRule="auto"/>
    </w:pPr>
    <w:rPr>
      <w:rFonts w:ascii="Tahoma" w:hAnsi="Tahoma" w:eastAsia="宋体"/>
      <w:sz w:val="24"/>
      <w:szCs w:val="24"/>
    </w:rPr>
  </w:style>
  <w:style w:type="paragraph" w:styleId="1007" w:customStyle="1">
    <w:name w:val="p0"/>
    <w:basedOn w:val="910"/>
    <w:uiPriority w:val="0"/>
    <w:qFormat/>
    <w:rPr>
      <w:rFonts w:hint="eastAsia"/>
    </w:rPr>
  </w:style>
  <w:style w:type="paragraph" w:styleId="1008">
    <w:name w:val="List Paragraph"/>
    <w:basedOn w:val="910"/>
    <w:uiPriority w:val="34"/>
    <w:qFormat/>
    <w:pPr>
      <w:ind w:firstLine="420"/>
    </w:pPr>
    <w:rPr>
      <w:rFonts w:ascii="宋体" w:hAnsi="宋体" w:eastAsia="宋体"/>
      <w:sz w:val="24"/>
      <w:szCs w:val="24"/>
    </w:rPr>
  </w:style>
  <w:style w:type="paragraph" w:styleId="1009" w:customStyle="1">
    <w:name w:val="Char"/>
    <w:basedOn w:val="910"/>
    <w:uiPriority w:val="0"/>
    <w:qFormat/>
    <w:rPr>
      <w:rFonts w:ascii="Tahoma" w:hAnsi="Tahoma" w:eastAsia="宋体"/>
      <w:sz w:val="24"/>
    </w:rPr>
  </w:style>
  <w:style w:type="paragraph" w:styleId="1010" w:customStyle="1">
    <w:name w:val="列出段落2"/>
    <w:basedOn w:val="910"/>
    <w:uiPriority w:val="34"/>
    <w:qFormat/>
    <w:pPr>
      <w:ind w:firstLine="420"/>
    </w:pPr>
  </w:style>
  <w:style w:type="paragraph" w:styleId="1011" w:customStyle="1">
    <w:name w:val="纯文本12"/>
    <w:basedOn w:val="910"/>
    <w:uiPriority w:val="0"/>
    <w:qFormat/>
    <w:rPr>
      <w:rFonts w:ascii="宋体" w:hAnsi="Courier New"/>
    </w:rPr>
  </w:style>
  <w:style w:type="paragraph" w:styleId="1012" w:customStyle="1">
    <w:name w:val="纯文本2"/>
    <w:basedOn w:val="910"/>
    <w:uiPriority w:val="0"/>
    <w:qFormat/>
    <w:rPr>
      <w:rFonts w:ascii="宋体" w:hAnsi="Courier New"/>
    </w:rPr>
  </w:style>
  <w:style w:type="paragraph" w:styleId="1013" w:customStyle="1">
    <w:name w:val="Char1"/>
    <w:basedOn w:val="910"/>
    <w:uiPriority w:val="0"/>
    <w:qFormat/>
    <w:rPr>
      <w:rFonts w:ascii="Tahoma" w:hAnsi="Tahoma" w:eastAsia="宋体"/>
      <w:sz w:val="24"/>
    </w:rPr>
  </w:style>
  <w:style w:type="paragraph" w:styleId="1014" w:customStyle="1">
    <w:name w:val="表格内容"/>
    <w:basedOn w:val="910"/>
    <w:uiPriority w:val="0"/>
    <w:qFormat/>
    <w:pPr>
      <w:jc w:val="left"/>
      <w:spacing w:before="100" w:beforeAutospacing="1" w:after="100" w:afterAutospacing="1" w:line="360" w:lineRule="auto"/>
    </w:pPr>
    <w:rPr>
      <w:rFonts w:ascii="宋体" w:hAnsi="宋体" w:eastAsia="宋体"/>
      <w:bCs/>
      <w:sz w:val="21"/>
      <w:szCs w:val="21"/>
    </w:rPr>
  </w:style>
  <w:style w:type="paragraph" w:styleId="1015" w:customStyle="1">
    <w:name w:val="纯文本3"/>
    <w:basedOn w:val="910"/>
    <w:uiPriority w:val="0"/>
    <w:qFormat/>
    <w:rPr>
      <w:rFonts w:ascii="宋体" w:hAnsi="Courier New"/>
      <w:sz w:val="28"/>
    </w:rPr>
  </w:style>
  <w:style w:type="paragraph" w:styleId="1016" w:customStyle="1">
    <w:name w:val="font7"/>
    <w:basedOn w:val="910"/>
    <w:uiPriority w:val="0"/>
    <w:qFormat/>
    <w:pPr>
      <w:jc w:val="left"/>
      <w:spacing w:before="100" w:beforeAutospacing="1" w:after="100" w:afterAutospacing="1"/>
      <w:widowControl/>
    </w:pPr>
    <w:rPr>
      <w:rFonts w:eastAsia="宋体"/>
      <w:sz w:val="20"/>
    </w:rPr>
  </w:style>
  <w:style w:type="paragraph" w:styleId="1017" w:customStyle="1">
    <w:name w:val="纯文本4"/>
    <w:basedOn w:val="910"/>
    <w:uiPriority w:val="0"/>
    <w:qFormat/>
    <w:rPr>
      <w:rFonts w:ascii="宋体" w:hAnsi="Courier New"/>
    </w:rPr>
  </w:style>
  <w:style w:type="paragraph" w:styleId="1018" w:customStyle="1">
    <w:name w:val="纯文本5"/>
    <w:basedOn w:val="910"/>
    <w:uiPriority w:val="0"/>
    <w:qFormat/>
    <w:rPr>
      <w:rFonts w:ascii="宋体" w:hAnsi="Courier New"/>
      <w:sz w:val="28"/>
    </w:rPr>
  </w:style>
  <w:style w:type="paragraph" w:styleId="1019" w:customStyle="1">
    <w:name w:val="Default"/>
    <w:uiPriority w:val="0"/>
    <w:qFormat/>
    <w:pPr>
      <w:widowControl w:val="off"/>
    </w:pPr>
    <w:rPr>
      <w:rFonts w:ascii="宋体" w:hAnsi="Calibri" w:eastAsia="宋体" w:cs="宋体"/>
      <w:color w:val="000000"/>
      <w:sz w:val="24"/>
      <w:szCs w:val="24"/>
      <w:lang w:val="en-US" w:eastAsia="zh-CN" w:bidi="ar-SA"/>
    </w:rPr>
  </w:style>
  <w:style w:type="character" w:styleId="1020" w:customStyle="1">
    <w:name w:val="font171"/>
    <w:basedOn w:val="920"/>
    <w:uiPriority w:val="0"/>
    <w:qFormat/>
    <w:rPr>
      <w:rFonts w:hint="eastAsia" w:ascii="宋体" w:hAnsi="宋体" w:eastAsia="宋体" w:cs="宋体"/>
      <w:b/>
      <w:bCs/>
      <w:color w:val="000000"/>
      <w:sz w:val="36"/>
      <w:szCs w:val="36"/>
      <w:u w:val="none"/>
    </w:rPr>
  </w:style>
  <w:style w:type="character" w:styleId="1021" w:customStyle="1">
    <w:name w:val="font41"/>
    <w:basedOn w:val="920"/>
    <w:uiPriority w:val="0"/>
    <w:qFormat/>
    <w:rPr>
      <w:rFonts w:hint="default" w:ascii="Times New Roman" w:hAnsi="Times New Roman" w:cs="Times New Roman"/>
      <w:b/>
      <w:bCs/>
      <w:color w:val="000000"/>
      <w:sz w:val="36"/>
      <w:szCs w:val="36"/>
      <w:u w:val="none"/>
    </w:rPr>
  </w:style>
  <w:style w:type="character" w:styleId="1022" w:customStyle="1">
    <w:name w:val="font101"/>
    <w:basedOn w:val="920"/>
    <w:uiPriority w:val="0"/>
    <w:qFormat/>
    <w:rPr>
      <w:rFonts w:hint="eastAsia" w:ascii="宋体" w:hAnsi="宋体" w:eastAsia="宋体" w:cs="宋体"/>
      <w:b/>
      <w:bCs/>
      <w:color w:val="000000"/>
      <w:sz w:val="24"/>
      <w:szCs w:val="24"/>
      <w:u w:val="none"/>
    </w:rPr>
  </w:style>
  <w:style w:type="character" w:styleId="1023" w:customStyle="1">
    <w:name w:val="font91"/>
    <w:basedOn w:val="920"/>
    <w:uiPriority w:val="0"/>
    <w:qFormat/>
    <w:rPr>
      <w:rFonts w:hint="default" w:ascii="Times New Roman" w:hAnsi="Times New Roman" w:cs="Times New Roman"/>
      <w:b/>
      <w:bCs/>
      <w:color w:val="000000"/>
      <w:sz w:val="24"/>
      <w:szCs w:val="24"/>
      <w:u w:val="none"/>
    </w:rPr>
  </w:style>
  <w:style w:type="character" w:styleId="1024" w:customStyle="1">
    <w:name w:val="font121"/>
    <w:basedOn w:val="920"/>
    <w:uiPriority w:val="0"/>
    <w:qFormat/>
    <w:rPr>
      <w:rFonts w:hint="eastAsia" w:ascii="宋体" w:hAnsi="宋体" w:eastAsia="宋体" w:cs="宋体"/>
      <w:color w:val="000000"/>
      <w:sz w:val="24"/>
      <w:szCs w:val="24"/>
      <w:u w:val="none"/>
    </w:rPr>
  </w:style>
  <w:style w:type="character" w:styleId="1025" w:customStyle="1">
    <w:name w:val="font61"/>
    <w:basedOn w:val="920"/>
    <w:uiPriority w:val="0"/>
    <w:qFormat/>
    <w:rPr>
      <w:rFonts w:hint="default" w:ascii="Times New Roman" w:hAnsi="Times New Roman" w:cs="Times New Roman"/>
      <w:color w:val="000000"/>
      <w:sz w:val="24"/>
      <w:szCs w:val="24"/>
      <w:u w:val="none"/>
    </w:rPr>
  </w:style>
  <w:style w:type="character" w:styleId="1026" w:customStyle="1">
    <w:name w:val="font151"/>
    <w:basedOn w:val="920"/>
    <w:uiPriority w:val="0"/>
    <w:qFormat/>
    <w:rPr>
      <w:rFonts w:ascii="宋体" w:hAnsi="宋体" w:eastAsia="宋体" w:cs="宋体"/>
      <w:color w:val="000000"/>
      <w:sz w:val="24"/>
      <w:szCs w:val="24"/>
      <w:u w:val="none"/>
    </w:rPr>
  </w:style>
  <w:style w:type="paragraph" w:styleId="1027" w:customStyle="1">
    <w:name w:val="正文_1_0"/>
    <w:uiPriority w:val="99"/>
    <w:qFormat/>
    <w:pPr>
      <w:jc w:val="both"/>
      <w:widowControl w:val="off"/>
    </w:pPr>
    <w:rPr>
      <w:rFonts w:ascii="Calibri" w:hAnsi="Calibri" w:eastAsia="宋体" w:cs="Times New Roman"/>
      <w:sz w:val="21"/>
      <w:szCs w:val="22"/>
      <w:lang w:val="en-US" w:eastAsia="zh-CN" w:bidi="ar-SA"/>
    </w:rPr>
  </w:style>
  <w:style w:type="paragraph" w:styleId="1028" w:customStyle="1">
    <w:name w:val="msolistparagraph"/>
    <w:basedOn w:val="910"/>
    <w:uiPriority w:val="0"/>
    <w:qFormat/>
    <w:pPr>
      <w:ind w:firstLine="420"/>
    </w:pPr>
    <w:rPr>
      <w:szCs w:val="21"/>
    </w:rPr>
  </w:style>
  <w:style w:type="paragraph" w:styleId="1029" w:customStyle="1">
    <w:name w:val="Table Paragraph"/>
    <w:basedOn w:val="910"/>
    <w:uiPriority w:val="1"/>
    <w:qFormat/>
    <w:rPr>
      <w:rFonts w:ascii="宋体" w:hAnsi="宋体" w:cs="宋体"/>
      <w:lang w:val="zh-CN" w:bidi="zh-CN"/>
    </w:rPr>
  </w:style>
  <w:style w:type="character" w:styleId="1030" w:customStyle="1">
    <w:name w:val="font21"/>
    <w:basedOn w:val="920"/>
    <w:uiPriority w:val="0"/>
    <w:qFormat/>
    <w:rPr>
      <w:rFonts w:hint="eastAsia" w:ascii="仿宋" w:hAnsi="仿宋" w:eastAsia="仿宋" w:cs="仿宋"/>
      <w:color w:val="000000"/>
      <w:sz w:val="22"/>
      <w:szCs w:val="22"/>
      <w:u w:val="none"/>
    </w:rPr>
  </w:style>
  <w:style w:type="character" w:styleId="1031" w:customStyle="1">
    <w:name w:val="font71"/>
    <w:basedOn w:val="920"/>
    <w:uiPriority w:val="0"/>
    <w:qFormat/>
    <w:rPr>
      <w:rFonts w:hint="eastAsia" w:ascii="宋体" w:hAnsi="宋体" w:eastAsia="宋体" w:cs="宋体"/>
      <w:color w:val="000000"/>
      <w:sz w:val="22"/>
      <w:szCs w:val="22"/>
      <w:u w:val="none"/>
    </w:rPr>
  </w:style>
  <w:style w:type="character" w:styleId="1032" w:customStyle="1">
    <w:name w:val="font01"/>
    <w:basedOn w:val="920"/>
    <w:uiPriority w:val="0"/>
    <w:qFormat/>
    <w:rPr>
      <w:rFonts w:hint="eastAsia" w:ascii="宋体" w:hAnsi="宋体" w:eastAsia="宋体" w:cs="宋体"/>
      <w:color w:val="000000"/>
      <w:sz w:val="22"/>
      <w:szCs w:val="22"/>
      <w:u w:val="none"/>
    </w:rPr>
  </w:style>
  <w:style w:type="character" w:styleId="1033" w:customStyle="1">
    <w:name w:val="font11"/>
    <w:basedOn w:val="920"/>
    <w:uiPriority w:val="0"/>
    <w:qFormat/>
    <w:rPr>
      <w:rFonts w:hint="eastAsia" w:ascii="宋体" w:hAnsi="宋体" w:eastAsia="宋体" w:cs="宋体"/>
      <w:color w:val="ff0000"/>
      <w:sz w:val="22"/>
      <w:szCs w:val="22"/>
      <w:u w:val="none"/>
    </w:rPr>
  </w:style>
  <w:style w:type="character" w:styleId="1034" w:customStyle="1">
    <w:name w:val="font31"/>
    <w:basedOn w:val="920"/>
    <w:uiPriority w:val="0"/>
    <w:qFormat/>
    <w:rPr>
      <w:rFonts w:hint="eastAsia" w:ascii="宋体" w:hAnsi="宋体" w:eastAsia="宋体" w:cs="宋体"/>
      <w:color w:val="ff0000"/>
      <w:sz w:val="22"/>
      <w:szCs w:val="22"/>
      <w:u w:val="none"/>
    </w:rPr>
  </w:style>
  <w:style w:type="paragraph" w:styleId="1035" w:customStyle="1">
    <w:name w:val="p2"/>
    <w:basedOn w:val="910"/>
    <w:uiPriority w:val="0"/>
    <w:qFormat/>
    <w:pPr>
      <w:spacing w:before="100" w:beforeAutospacing="1" w:after="100" w:afterAutospacing="1"/>
    </w:pPr>
    <w:rPr>
      <w:rFonts w:ascii="宋体" w:hAnsi="宋体"/>
      <w:sz w:val="24"/>
      <w:szCs w:val="24"/>
    </w:rPr>
  </w:style>
  <w:style w:type="character" w:styleId="1036" w:customStyle="1">
    <w:name w:val="批注文字 字符"/>
    <w:link w:val="929"/>
    <w:uiPriority w:val="0"/>
    <w:qFormat/>
    <w:rPr>
      <w:rFonts w:eastAsia="楷体_GB2312"/>
      <w:sz w:val="26"/>
    </w:rPr>
  </w:style>
  <w:style w:type="character" w:styleId="1037" w:customStyle="1">
    <w:name w:val="NormalCharacter"/>
    <w:link w:val="1038"/>
    <w:uiPriority w:val="0"/>
    <w:qFormat/>
    <w:rPr>
      <w:sz w:val="20"/>
      <w:szCs w:val="20"/>
    </w:rPr>
  </w:style>
  <w:style w:type="paragraph" w:styleId="1038" w:customStyle="1">
    <w:name w:val="UserStyle_4"/>
    <w:basedOn w:val="910"/>
    <w:link w:val="1037"/>
    <w:uiPriority w:val="99"/>
    <w:qFormat/>
    <w:rPr>
      <w:sz w:val="20"/>
    </w:rPr>
  </w:style>
  <w:style w:type="character" w:styleId="1039" w:customStyle="1">
    <w:name w:val="hover"/>
    <w:basedOn w:val="920"/>
    <w:uiPriority w:val="0"/>
    <w:qFormat/>
    <w:rPr>
      <w:color w:val="2590eb"/>
    </w:rPr>
  </w:style>
  <w:style w:type="character" w:styleId="1040" w:customStyle="1">
    <w:name w:val="hover1"/>
    <w:basedOn w:val="920"/>
    <w:uiPriority w:val="0"/>
    <w:qFormat/>
  </w:style>
  <w:style w:type="character" w:styleId="1041" w:customStyle="1">
    <w:name w:val="hover2"/>
    <w:basedOn w:val="920"/>
    <w:uiPriority w:val="0"/>
    <w:qFormat/>
    <w:rPr>
      <w:color w:val="2590eb"/>
    </w:rPr>
  </w:style>
  <w:style w:type="character" w:styleId="1042" w:customStyle="1">
    <w:name w:val="15"/>
    <w:basedOn w:val="920"/>
    <w:uiPriority w:val="0"/>
    <w:qFormat/>
  </w:style>
  <w:style w:type="paragraph" w:styleId="1043" w:customStyle="1">
    <w:name w:val="p"/>
    <w:basedOn w:val="910"/>
    <w:uiPriority w:val="0"/>
    <w:qFormat/>
    <w:pPr>
      <w:jc w:val="left"/>
      <w:spacing w:before="100" w:beforeAutospacing="1" w:after="100" w:afterAutospacing="1"/>
      <w:widowControl/>
    </w:pPr>
    <w:rPr>
      <w:rFonts w:ascii="宋体" w:hAnsi="宋体" w:eastAsia="宋体" w:cs="宋体"/>
      <w:sz w:val="24"/>
      <w:szCs w:val="24"/>
    </w:rPr>
  </w:style>
  <w:style w:type="character" w:styleId="1044" w:customStyle="1">
    <w:name w:val="页脚 字符"/>
    <w:basedOn w:val="920"/>
    <w:link w:val="943"/>
    <w:uiPriority w:val="99"/>
    <w:qFormat/>
    <w:rPr>
      <w:rFonts w:eastAsia="楷体_GB2312"/>
      <w:sz w:val="18"/>
    </w:rPr>
  </w:style>
  <w:style w:type="character" w:styleId="1045" w:customStyle="1">
    <w:name w:val="页眉 字符"/>
    <w:basedOn w:val="920"/>
    <w:link w:val="945"/>
    <w:uiPriority w:val="99"/>
    <w:qFormat/>
    <w:rPr>
      <w:rFonts w:eastAsia="楷体_GB2312"/>
      <w:sz w:val="18"/>
    </w:rPr>
  </w:style>
  <w:style w:type="character" w:styleId="1046" w:customStyle="1">
    <w:name w:val="标题 1 字符"/>
    <w:link w:val="911"/>
    <w:uiPriority w:val="0"/>
    <w:qFormat/>
    <w:rPr>
      <w:rFonts w:eastAsia="楷体_GB2312"/>
      <w:b/>
      <w:sz w:val="44"/>
    </w:rPr>
  </w:style>
  <w:style w:type="character" w:styleId="1047" w:customStyle="1">
    <w:name w:val="标题 字符"/>
    <w:basedOn w:val="920"/>
    <w:link w:val="961"/>
    <w:uiPriority w:val="10"/>
    <w:qFormat/>
    <w:rPr>
      <w:rFonts w:ascii="黑体" w:hAnsi="黑体" w:eastAsia="黑体"/>
      <w:sz w:val="28"/>
      <w:szCs w:val="24"/>
    </w:rPr>
  </w:style>
  <w:style w:type="paragraph" w:styleId="1048" w:customStyle="1">
    <w:name w:val="UserStyle_780"/>
    <w:basedOn w:val="910"/>
    <w:uiPriority w:val="0"/>
    <w:qFormat/>
    <w:rPr>
      <w:rFonts w:ascii="宋体" w:hAnsi="Courier New"/>
      <w:sz w:val="28"/>
      <w:szCs w:val="24"/>
    </w:rPr>
  </w:style>
  <w:style w:type="paragraph" w:styleId="1049" w:customStyle="1">
    <w:name w:val="修订1"/>
    <w:hidden/>
    <w:uiPriority w:val="99"/>
    <w:semiHidden/>
    <w:qFormat/>
    <w:rPr>
      <w:rFonts w:ascii="Times New Roman" w:hAnsi="Times New Roman" w:eastAsia="楷体_GB2312" w:cs="Times New Roman"/>
      <w:sz w:val="26"/>
      <w:lang w:val="en-US" w:eastAsia="zh-CN" w:bidi="ar-SA"/>
    </w:rPr>
  </w:style>
  <w:style w:type="paragraph" w:styleId="1050" w:customStyle="1">
    <w:name w:val="修订2"/>
    <w:hidden/>
    <w:uiPriority w:val="99"/>
    <w:unhideWhenUsed/>
    <w:qFormat/>
    <w:rPr>
      <w:rFonts w:ascii="Times New Roman" w:hAnsi="Times New Roman" w:eastAsia="楷体_GB2312" w:cs="Times New Roman"/>
      <w:sz w:val="26"/>
      <w:lang w:val="en-US" w:eastAsia="zh-CN" w:bidi="ar-SA"/>
    </w:rPr>
  </w:style>
  <w:style w:type="numbering" w:styleId="105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81C3A554-1112-4FD0-BC7E-588FAB29DDBC}"/>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Organization</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shen</dc:creator>
  <cp:lastModifiedBy>沈鹰</cp:lastModifiedBy>
  <cp:revision>4</cp:revision>
  <dcterms:created xsi:type="dcterms:W3CDTF">2023-12-11T10:15:00Z</dcterms:created>
  <dcterms:modified xsi:type="dcterms:W3CDTF">2026-05-14T08:26:27Z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6D1DAF6A2F6E44EF85C891ECF759A0F7_13</vt:lpwstr>
  </property>
  <property fmtid="{D5CDD505-2E9C-101B-9397-08002B2CF9AE}" pid="4" name="KSOTemplateDocerSaveRecord">
    <vt:lpwstr>eyJoZGlkIjoiZTg1ZjBiYjczODk3ZDAxZTcxNzhmZTc1ZjVmOWU3NDAiLCJ1c2VySWQiOiI0MTgxMDg2MzUifQ==</vt:lpwstr>
  </property>
</Properties>
</file>